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7300D">
      <w:pPr>
        <w:spacing w:line="578" w:lineRule="exact"/>
        <w:rPr>
          <w:rFonts w:hint="eastAsia" w:ascii="仿宋_GB2312" w:eastAsia="仿宋_GB2312"/>
          <w:color w:val="000000"/>
          <w:szCs w:val="21"/>
        </w:rPr>
      </w:pPr>
      <w:r>
        <w:rPr>
          <w:rFonts w:hint="eastAsia" w:ascii="仿宋_GB2312" w:eastAsia="仿宋_GB2312"/>
          <w:color w:val="000000"/>
          <w:szCs w:val="21"/>
        </w:rPr>
        <w:t>BF——2009——2716                                                 合同编号：</w:t>
      </w:r>
    </w:p>
    <w:p w14:paraId="32D5FAA3">
      <w:pPr>
        <w:spacing w:line="360" w:lineRule="auto"/>
        <w:jc w:val="center"/>
        <w:rPr>
          <w:rFonts w:hint="eastAsia" w:ascii="微软雅黑" w:hAnsi="微软雅黑" w:eastAsia="微软雅黑" w:cs="微软雅黑"/>
          <w:b/>
          <w:bCs/>
          <w:spacing w:val="60"/>
          <w:sz w:val="36"/>
          <w:szCs w:val="36"/>
        </w:rPr>
      </w:pPr>
      <w:r>
        <w:rPr>
          <w:rFonts w:hint="eastAsia" w:ascii="微软雅黑" w:hAnsi="微软雅黑" w:eastAsia="微软雅黑" w:cs="微软雅黑"/>
          <w:b/>
          <w:bCs/>
          <w:spacing w:val="60"/>
          <w:sz w:val="36"/>
          <w:szCs w:val="36"/>
        </w:rPr>
        <w:t>乡村民俗旅游合同</w:t>
      </w:r>
    </w:p>
    <w:tbl>
      <w:tblPr>
        <w:tblStyle w:val="4"/>
        <w:tblW w:w="5492" w:type="pct"/>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456"/>
        <w:gridCol w:w="82"/>
        <w:gridCol w:w="181"/>
        <w:gridCol w:w="181"/>
        <w:gridCol w:w="758"/>
        <w:gridCol w:w="2093"/>
        <w:gridCol w:w="1134"/>
        <w:gridCol w:w="752"/>
        <w:gridCol w:w="1315"/>
        <w:gridCol w:w="573"/>
        <w:gridCol w:w="1149"/>
      </w:tblGrid>
      <w:tr w14:paraId="67177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1" w:type="pct"/>
            <w:gridSpan w:val="4"/>
            <w:noWrap w:val="0"/>
            <w:vAlign w:val="top"/>
          </w:tcPr>
          <w:p w14:paraId="5E7C5DAD">
            <w:pPr>
              <w:jc w:val="center"/>
              <w:rPr>
                <w:rFonts w:hint="eastAsia" w:ascii="微软雅黑" w:hAnsi="微软雅黑" w:eastAsia="微软雅黑" w:cs="微软雅黑"/>
                <w:b/>
                <w:sz w:val="24"/>
                <w:szCs w:val="24"/>
              </w:rPr>
            </w:pPr>
            <w:bookmarkStart w:id="0" w:name="_GoBack"/>
            <w:r>
              <w:rPr>
                <w:rFonts w:hint="eastAsia" w:ascii="微软雅黑" w:hAnsi="微软雅黑" w:eastAsia="微软雅黑" w:cs="微软雅黑"/>
                <w:b/>
                <w:sz w:val="24"/>
                <w:szCs w:val="24"/>
              </w:rPr>
              <w:t>旅游接待时间</w:t>
            </w:r>
          </w:p>
        </w:tc>
        <w:tc>
          <w:tcPr>
            <w:tcW w:w="3133" w:type="pct"/>
            <w:gridSpan w:val="6"/>
            <w:noWrap w:val="0"/>
            <w:vAlign w:val="top"/>
          </w:tcPr>
          <w:p w14:paraId="3A3116B9">
            <w:pPr>
              <w:rPr>
                <w:rFonts w:hint="eastAsia" w:ascii="微软雅黑" w:hAnsi="微软雅黑" w:eastAsia="微软雅黑" w:cs="微软雅黑"/>
                <w:b/>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 xml:space="preserve">时       </w:t>
            </w:r>
          </w:p>
          <w:p w14:paraId="6A07C091">
            <w:pPr>
              <w:rPr>
                <w:rFonts w:hint="eastAsia" w:ascii="微软雅黑" w:hAnsi="微软雅黑" w:eastAsia="微软雅黑" w:cs="微软雅黑"/>
                <w:sz w:val="24"/>
                <w:szCs w:val="24"/>
              </w:rPr>
            </w:pPr>
            <w:r>
              <w:rPr>
                <w:rFonts w:hint="eastAsia" w:ascii="微软雅黑" w:hAnsi="微软雅黑" w:eastAsia="微软雅黑" w:cs="微软雅黑"/>
                <w:b/>
                <w:sz w:val="24"/>
                <w:szCs w:val="24"/>
              </w:rPr>
              <w:t>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时</w:t>
            </w:r>
          </w:p>
        </w:tc>
        <w:tc>
          <w:tcPr>
            <w:tcW w:w="288" w:type="pct"/>
            <w:noWrap w:val="0"/>
            <w:vAlign w:val="top"/>
          </w:tcPr>
          <w:p w14:paraId="4C755B26">
            <w:pP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人数</w:t>
            </w:r>
          </w:p>
        </w:tc>
        <w:tc>
          <w:tcPr>
            <w:tcW w:w="578" w:type="pct"/>
            <w:noWrap w:val="0"/>
            <w:vAlign w:val="top"/>
          </w:tcPr>
          <w:p w14:paraId="07AA192E">
            <w:pPr>
              <w:rPr>
                <w:rFonts w:hint="eastAsia" w:ascii="微软雅黑" w:hAnsi="微软雅黑" w:eastAsia="微软雅黑" w:cs="微软雅黑"/>
                <w:sz w:val="24"/>
                <w:szCs w:val="24"/>
              </w:rPr>
            </w:pPr>
          </w:p>
        </w:tc>
      </w:tr>
      <w:tr w14:paraId="32A16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340" w:type="pct"/>
            <w:vMerge w:val="restart"/>
            <w:noWrap w:val="0"/>
            <w:vAlign w:val="top"/>
          </w:tcPr>
          <w:p w14:paraId="29C03610">
            <w:pPr>
              <w:jc w:val="center"/>
              <w:rPr>
                <w:rFonts w:hint="eastAsia" w:ascii="微软雅黑" w:hAnsi="微软雅黑" w:eastAsia="微软雅黑" w:cs="微软雅黑"/>
                <w:sz w:val="24"/>
                <w:szCs w:val="24"/>
              </w:rPr>
            </w:pPr>
            <w:r>
              <w:rPr>
                <w:rFonts w:hint="eastAsia" w:ascii="微软雅黑" w:hAnsi="微软雅黑" w:eastAsia="微软雅黑" w:cs="微软雅黑"/>
                <w:b/>
                <w:sz w:val="24"/>
                <w:szCs w:val="24"/>
              </w:rPr>
              <w:t>餐饮接待</w:t>
            </w:r>
            <w:r>
              <w:rPr>
                <w:rFonts w:hint="eastAsia" w:ascii="微软雅黑" w:hAnsi="微软雅黑" w:eastAsia="微软雅黑" w:cs="微软雅黑"/>
                <w:sz w:val="24"/>
                <w:szCs w:val="24"/>
              </w:rPr>
              <w:t>（如需详细菜单可另作附件）</w:t>
            </w:r>
          </w:p>
        </w:tc>
        <w:tc>
          <w:tcPr>
            <w:tcW w:w="284" w:type="pct"/>
            <w:noWrap w:val="0"/>
            <w:vAlign w:val="top"/>
          </w:tcPr>
          <w:p w14:paraId="2B4E2C5B">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早餐</w:t>
            </w:r>
          </w:p>
        </w:tc>
        <w:tc>
          <w:tcPr>
            <w:tcW w:w="4376" w:type="pct"/>
            <w:gridSpan w:val="10"/>
            <w:noWrap w:val="0"/>
            <w:vAlign w:val="top"/>
          </w:tcPr>
          <w:p w14:paraId="1931020E">
            <w:pPr>
              <w:rPr>
                <w:rFonts w:hint="eastAsia" w:ascii="微软雅黑" w:hAnsi="微软雅黑" w:eastAsia="微软雅黑" w:cs="微软雅黑"/>
                <w:sz w:val="24"/>
                <w:szCs w:val="24"/>
              </w:rPr>
            </w:pPr>
          </w:p>
        </w:tc>
      </w:tr>
      <w:tr w14:paraId="24EFA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340" w:type="pct"/>
            <w:vMerge w:val="continue"/>
            <w:noWrap w:val="0"/>
            <w:vAlign w:val="top"/>
          </w:tcPr>
          <w:p w14:paraId="3290AF50">
            <w:pPr>
              <w:jc w:val="center"/>
              <w:rPr>
                <w:rFonts w:hint="eastAsia" w:ascii="微软雅黑" w:hAnsi="微软雅黑" w:eastAsia="微软雅黑" w:cs="微软雅黑"/>
                <w:sz w:val="24"/>
                <w:szCs w:val="24"/>
              </w:rPr>
            </w:pPr>
          </w:p>
        </w:tc>
        <w:tc>
          <w:tcPr>
            <w:tcW w:w="284" w:type="pct"/>
            <w:noWrap w:val="0"/>
            <w:vAlign w:val="top"/>
          </w:tcPr>
          <w:p w14:paraId="778C6BF9">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午餐</w:t>
            </w:r>
          </w:p>
        </w:tc>
        <w:tc>
          <w:tcPr>
            <w:tcW w:w="4376" w:type="pct"/>
            <w:gridSpan w:val="10"/>
            <w:noWrap w:val="0"/>
            <w:vAlign w:val="top"/>
          </w:tcPr>
          <w:p w14:paraId="1F9DE217">
            <w:pPr>
              <w:rPr>
                <w:rFonts w:hint="eastAsia" w:ascii="微软雅黑" w:hAnsi="微软雅黑" w:eastAsia="微软雅黑" w:cs="微软雅黑"/>
                <w:sz w:val="24"/>
                <w:szCs w:val="24"/>
              </w:rPr>
            </w:pPr>
          </w:p>
        </w:tc>
      </w:tr>
      <w:tr w14:paraId="3D297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340" w:type="pct"/>
            <w:vMerge w:val="continue"/>
            <w:shd w:val="clear" w:color="auto" w:fill="auto"/>
            <w:noWrap w:val="0"/>
            <w:vAlign w:val="top"/>
          </w:tcPr>
          <w:p w14:paraId="62BB154C">
            <w:pPr>
              <w:jc w:val="center"/>
              <w:rPr>
                <w:rFonts w:hint="eastAsia" w:ascii="微软雅黑" w:hAnsi="微软雅黑" w:eastAsia="微软雅黑" w:cs="微软雅黑"/>
                <w:sz w:val="24"/>
                <w:szCs w:val="24"/>
              </w:rPr>
            </w:pPr>
          </w:p>
        </w:tc>
        <w:tc>
          <w:tcPr>
            <w:tcW w:w="284" w:type="pct"/>
            <w:shd w:val="clear" w:color="auto" w:fill="auto"/>
            <w:noWrap w:val="0"/>
            <w:vAlign w:val="top"/>
          </w:tcPr>
          <w:p w14:paraId="0290B566">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晚餐</w:t>
            </w:r>
          </w:p>
        </w:tc>
        <w:tc>
          <w:tcPr>
            <w:tcW w:w="4376" w:type="pct"/>
            <w:gridSpan w:val="10"/>
            <w:noWrap w:val="0"/>
            <w:vAlign w:val="top"/>
          </w:tcPr>
          <w:p w14:paraId="6A23B1AC">
            <w:pPr>
              <w:rPr>
                <w:rFonts w:hint="eastAsia" w:ascii="微软雅黑" w:hAnsi="微软雅黑" w:eastAsia="微软雅黑" w:cs="微软雅黑"/>
                <w:sz w:val="24"/>
                <w:szCs w:val="24"/>
              </w:rPr>
            </w:pPr>
          </w:p>
        </w:tc>
      </w:tr>
      <w:tr w14:paraId="5AFD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340" w:type="pct"/>
            <w:vMerge w:val="continue"/>
            <w:shd w:val="clear" w:color="auto" w:fill="auto"/>
            <w:noWrap w:val="0"/>
            <w:vAlign w:val="top"/>
          </w:tcPr>
          <w:p w14:paraId="7AD57E1C">
            <w:pPr>
              <w:jc w:val="center"/>
              <w:rPr>
                <w:rFonts w:hint="eastAsia" w:ascii="微软雅黑" w:hAnsi="微软雅黑" w:eastAsia="微软雅黑" w:cs="微软雅黑"/>
                <w:sz w:val="24"/>
                <w:szCs w:val="24"/>
              </w:rPr>
            </w:pPr>
          </w:p>
        </w:tc>
        <w:tc>
          <w:tcPr>
            <w:tcW w:w="284" w:type="pct"/>
            <w:shd w:val="clear" w:color="auto" w:fill="auto"/>
            <w:noWrap w:val="0"/>
            <w:vAlign w:val="top"/>
          </w:tcPr>
          <w:p w14:paraId="3125B3EB">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金额</w:t>
            </w:r>
          </w:p>
        </w:tc>
        <w:tc>
          <w:tcPr>
            <w:tcW w:w="4376" w:type="pct"/>
            <w:gridSpan w:val="10"/>
            <w:noWrap w:val="0"/>
            <w:vAlign w:val="top"/>
          </w:tcPr>
          <w:p w14:paraId="1C4B62F0">
            <w:pPr>
              <w:rPr>
                <w:rFonts w:hint="eastAsia" w:ascii="微软雅黑" w:hAnsi="微软雅黑" w:eastAsia="微软雅黑" w:cs="微软雅黑"/>
                <w:sz w:val="24"/>
                <w:szCs w:val="24"/>
              </w:rPr>
            </w:pPr>
          </w:p>
        </w:tc>
      </w:tr>
      <w:tr w14:paraId="6D339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noWrap w:val="0"/>
            <w:vAlign w:val="top"/>
          </w:tcPr>
          <w:p w14:paraId="79C424F0">
            <w:pPr>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住宿接待</w:t>
            </w:r>
          </w:p>
        </w:tc>
        <w:tc>
          <w:tcPr>
            <w:tcW w:w="4660" w:type="pct"/>
            <w:gridSpan w:val="11"/>
            <w:noWrap w:val="0"/>
            <w:vAlign w:val="top"/>
          </w:tcPr>
          <w:p w14:paraId="41CDB54B">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乙方将□</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间房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个床位租给甲方住宿，房间号/床位号：</w:t>
            </w:r>
            <w:r>
              <w:rPr>
                <w:rFonts w:hint="eastAsia" w:ascii="微软雅黑" w:hAnsi="微软雅黑" w:eastAsia="微软雅黑" w:cs="微软雅黑"/>
                <w:sz w:val="24"/>
                <w:szCs w:val="24"/>
                <w:u w:val="single"/>
              </w:rPr>
              <w:t xml:space="preserve">                            </w:t>
            </w:r>
          </w:p>
          <w:p w14:paraId="35384468">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住宿标准：</w:t>
            </w:r>
            <w:r>
              <w:rPr>
                <w:rFonts w:hint="eastAsia" w:ascii="微软雅黑" w:hAnsi="微软雅黑" w:eastAsia="微软雅黑" w:cs="微软雅黑"/>
                <w:sz w:val="24"/>
                <w:szCs w:val="24"/>
                <w:u w:val="single"/>
              </w:rPr>
              <w:t xml:space="preserve">                                                             </w:t>
            </w:r>
          </w:p>
          <w:p w14:paraId="010EA5A8">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收费标准为：（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时</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分至次日</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时</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分）</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元/日</w:t>
            </w:r>
          </w:p>
          <w:p w14:paraId="1792AC9B">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甲方住宿人数及健康说明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（名单可另附作为本合同附件）</w:t>
            </w:r>
          </w:p>
        </w:tc>
      </w:tr>
      <w:tr w14:paraId="59F9F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340" w:type="pct"/>
            <w:vMerge w:val="restart"/>
            <w:noWrap w:val="0"/>
            <w:vAlign w:val="top"/>
          </w:tcPr>
          <w:p w14:paraId="7C56C725">
            <w:pPr>
              <w:jc w:val="center"/>
              <w:rPr>
                <w:rFonts w:hint="eastAsia" w:ascii="微软雅黑" w:hAnsi="微软雅黑" w:eastAsia="微软雅黑" w:cs="微软雅黑"/>
                <w:b/>
                <w:sz w:val="24"/>
                <w:szCs w:val="24"/>
              </w:rPr>
            </w:pPr>
          </w:p>
          <w:p w14:paraId="60B6DE57">
            <w:pPr>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旅游接待</w:t>
            </w:r>
          </w:p>
        </w:tc>
        <w:tc>
          <w:tcPr>
            <w:tcW w:w="752" w:type="pct"/>
            <w:gridSpan w:val="4"/>
            <w:noWrap w:val="0"/>
            <w:vAlign w:val="top"/>
          </w:tcPr>
          <w:p w14:paraId="1AC66A5C">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提供的娱乐设施及价格</w:t>
            </w:r>
          </w:p>
        </w:tc>
        <w:tc>
          <w:tcPr>
            <w:tcW w:w="3908" w:type="pct"/>
            <w:gridSpan w:val="7"/>
            <w:noWrap w:val="0"/>
            <w:vAlign w:val="top"/>
          </w:tcPr>
          <w:p w14:paraId="75E8844D">
            <w:pPr>
              <w:rPr>
                <w:rFonts w:hint="eastAsia" w:ascii="微软雅黑" w:hAnsi="微软雅黑" w:eastAsia="微软雅黑" w:cs="微软雅黑"/>
                <w:sz w:val="24"/>
                <w:szCs w:val="24"/>
              </w:rPr>
            </w:pPr>
          </w:p>
        </w:tc>
      </w:tr>
      <w:tr w14:paraId="4791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340" w:type="pct"/>
            <w:vMerge w:val="continue"/>
            <w:noWrap w:val="0"/>
            <w:vAlign w:val="top"/>
          </w:tcPr>
          <w:p w14:paraId="2FF52D2F">
            <w:pPr>
              <w:jc w:val="center"/>
              <w:rPr>
                <w:rFonts w:hint="eastAsia" w:ascii="微软雅黑" w:hAnsi="微软雅黑" w:eastAsia="微软雅黑" w:cs="微软雅黑"/>
                <w:b/>
                <w:sz w:val="24"/>
                <w:szCs w:val="24"/>
              </w:rPr>
            </w:pPr>
          </w:p>
        </w:tc>
        <w:tc>
          <w:tcPr>
            <w:tcW w:w="752" w:type="pct"/>
            <w:gridSpan w:val="4"/>
            <w:noWrap w:val="0"/>
            <w:vAlign w:val="top"/>
          </w:tcPr>
          <w:p w14:paraId="5E9B6818">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旅游景点门票代购</w:t>
            </w:r>
          </w:p>
        </w:tc>
        <w:tc>
          <w:tcPr>
            <w:tcW w:w="3908" w:type="pct"/>
            <w:gridSpan w:val="7"/>
            <w:noWrap w:val="0"/>
            <w:vAlign w:val="top"/>
          </w:tcPr>
          <w:p w14:paraId="203C922E">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乙方为甲方联系</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景点，代购门票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张；</w:t>
            </w:r>
          </w:p>
          <w:p w14:paraId="243C89AB">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票价：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元/张，共计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tc>
      </w:tr>
      <w:tr w14:paraId="3DC36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vMerge w:val="continue"/>
            <w:noWrap w:val="0"/>
            <w:vAlign w:val="top"/>
          </w:tcPr>
          <w:p w14:paraId="047CCC8D">
            <w:pPr>
              <w:jc w:val="center"/>
              <w:rPr>
                <w:rFonts w:hint="eastAsia" w:ascii="微软雅黑" w:hAnsi="微软雅黑" w:eastAsia="微软雅黑" w:cs="微软雅黑"/>
                <w:b/>
                <w:sz w:val="24"/>
                <w:szCs w:val="24"/>
              </w:rPr>
            </w:pPr>
          </w:p>
        </w:tc>
        <w:tc>
          <w:tcPr>
            <w:tcW w:w="752" w:type="pct"/>
            <w:gridSpan w:val="4"/>
            <w:noWrap w:val="0"/>
            <w:vAlign w:val="top"/>
          </w:tcPr>
          <w:p w14:paraId="1E620AD9">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其他</w:t>
            </w:r>
          </w:p>
        </w:tc>
        <w:tc>
          <w:tcPr>
            <w:tcW w:w="3908" w:type="pct"/>
            <w:gridSpan w:val="7"/>
            <w:noWrap w:val="0"/>
            <w:vAlign w:val="top"/>
          </w:tcPr>
          <w:p w14:paraId="5EA1EF54">
            <w:pPr>
              <w:rPr>
                <w:rFonts w:hint="eastAsia" w:ascii="微软雅黑" w:hAnsi="微软雅黑" w:eastAsia="微软雅黑" w:cs="微软雅黑"/>
                <w:sz w:val="24"/>
                <w:szCs w:val="24"/>
              </w:rPr>
            </w:pPr>
          </w:p>
        </w:tc>
      </w:tr>
      <w:tr w14:paraId="4912D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340" w:type="pct"/>
            <w:vMerge w:val="restart"/>
            <w:noWrap w:val="0"/>
            <w:vAlign w:val="top"/>
          </w:tcPr>
          <w:p w14:paraId="53B621AA">
            <w:pPr>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费用支付</w:t>
            </w:r>
          </w:p>
        </w:tc>
        <w:tc>
          <w:tcPr>
            <w:tcW w:w="752" w:type="pct"/>
            <w:gridSpan w:val="4"/>
            <w:noWrap w:val="0"/>
            <w:vAlign w:val="top"/>
          </w:tcPr>
          <w:p w14:paraId="4AA0CD89">
            <w:pPr>
              <w:ind w:left="29" w:leftChars="14"/>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概算总价款</w:t>
            </w:r>
          </w:p>
        </w:tc>
        <w:tc>
          <w:tcPr>
            <w:tcW w:w="3908" w:type="pct"/>
            <w:gridSpan w:val="7"/>
            <w:noWrap w:val="0"/>
            <w:vAlign w:val="top"/>
          </w:tcPr>
          <w:p w14:paraId="76CBCBA3">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tc>
      </w:tr>
      <w:tr w14:paraId="1349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340" w:type="pct"/>
            <w:vMerge w:val="continue"/>
            <w:noWrap w:val="0"/>
            <w:vAlign w:val="top"/>
          </w:tcPr>
          <w:p w14:paraId="4AA56B5E">
            <w:pPr>
              <w:jc w:val="center"/>
              <w:rPr>
                <w:rFonts w:hint="eastAsia" w:ascii="微软雅黑" w:hAnsi="微软雅黑" w:eastAsia="微软雅黑" w:cs="微软雅黑"/>
                <w:sz w:val="24"/>
                <w:szCs w:val="24"/>
              </w:rPr>
            </w:pPr>
          </w:p>
        </w:tc>
        <w:tc>
          <w:tcPr>
            <w:tcW w:w="752" w:type="pct"/>
            <w:gridSpan w:val="4"/>
            <w:vMerge w:val="restart"/>
            <w:noWrap w:val="0"/>
            <w:vAlign w:val="top"/>
          </w:tcPr>
          <w:p w14:paraId="3BE53111">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费用预付</w:t>
            </w:r>
          </w:p>
        </w:tc>
        <w:tc>
          <w:tcPr>
            <w:tcW w:w="381" w:type="pct"/>
            <w:noWrap w:val="0"/>
            <w:vAlign w:val="top"/>
          </w:tcPr>
          <w:p w14:paraId="779489BD">
            <w:pP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定金</w:t>
            </w:r>
          </w:p>
        </w:tc>
        <w:tc>
          <w:tcPr>
            <w:tcW w:w="1622" w:type="pct"/>
            <w:gridSpan w:val="2"/>
            <w:noWrap w:val="0"/>
            <w:vAlign w:val="top"/>
          </w:tcPr>
          <w:p w14:paraId="4BDF3633">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元（不超过概算总价款20％）</w:t>
            </w:r>
          </w:p>
        </w:tc>
        <w:tc>
          <w:tcPr>
            <w:tcW w:w="378" w:type="pct"/>
            <w:noWrap w:val="0"/>
            <w:vAlign w:val="top"/>
          </w:tcPr>
          <w:p w14:paraId="217E9CBA">
            <w:pP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预付款</w:t>
            </w:r>
          </w:p>
        </w:tc>
        <w:tc>
          <w:tcPr>
            <w:tcW w:w="1527" w:type="pct"/>
            <w:gridSpan w:val="3"/>
            <w:noWrap w:val="0"/>
            <w:vAlign w:val="top"/>
          </w:tcPr>
          <w:p w14:paraId="516FB0D2">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tc>
      </w:tr>
      <w:tr w14:paraId="27A9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340" w:type="pct"/>
            <w:vMerge w:val="continue"/>
            <w:noWrap w:val="0"/>
            <w:vAlign w:val="top"/>
          </w:tcPr>
          <w:p w14:paraId="46D0BEDA">
            <w:pPr>
              <w:jc w:val="center"/>
              <w:rPr>
                <w:rFonts w:hint="eastAsia" w:ascii="微软雅黑" w:hAnsi="微软雅黑" w:eastAsia="微软雅黑" w:cs="微软雅黑"/>
                <w:sz w:val="24"/>
                <w:szCs w:val="24"/>
              </w:rPr>
            </w:pPr>
          </w:p>
        </w:tc>
        <w:tc>
          <w:tcPr>
            <w:tcW w:w="752" w:type="pct"/>
            <w:gridSpan w:val="4"/>
            <w:vMerge w:val="continue"/>
            <w:noWrap w:val="0"/>
            <w:vAlign w:val="top"/>
          </w:tcPr>
          <w:p w14:paraId="55E5A687">
            <w:pPr>
              <w:jc w:val="center"/>
              <w:rPr>
                <w:rFonts w:hint="eastAsia" w:ascii="微软雅黑" w:hAnsi="微软雅黑" w:eastAsia="微软雅黑" w:cs="微软雅黑"/>
                <w:sz w:val="24"/>
                <w:szCs w:val="24"/>
              </w:rPr>
            </w:pPr>
          </w:p>
        </w:tc>
        <w:tc>
          <w:tcPr>
            <w:tcW w:w="3908" w:type="pct"/>
            <w:gridSpan w:val="7"/>
            <w:noWrap w:val="0"/>
            <w:vAlign w:val="top"/>
          </w:tcPr>
          <w:p w14:paraId="1069D2AA">
            <w:pPr>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定金或预付款凭收据作为结算依据</w:t>
            </w:r>
          </w:p>
        </w:tc>
      </w:tr>
      <w:tr w14:paraId="2EAB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340" w:type="pct"/>
            <w:vMerge w:val="continue"/>
            <w:noWrap w:val="0"/>
            <w:vAlign w:val="top"/>
          </w:tcPr>
          <w:p w14:paraId="7817D718">
            <w:pPr>
              <w:jc w:val="center"/>
              <w:rPr>
                <w:rFonts w:hint="eastAsia" w:ascii="微软雅黑" w:hAnsi="微软雅黑" w:eastAsia="微软雅黑" w:cs="微软雅黑"/>
                <w:sz w:val="24"/>
                <w:szCs w:val="24"/>
              </w:rPr>
            </w:pPr>
          </w:p>
        </w:tc>
        <w:tc>
          <w:tcPr>
            <w:tcW w:w="752" w:type="pct"/>
            <w:gridSpan w:val="4"/>
            <w:noWrap w:val="0"/>
            <w:vAlign w:val="top"/>
          </w:tcPr>
          <w:p w14:paraId="5EB32B4E">
            <w:pPr>
              <w:ind w:left="29" w:leftChars="14"/>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结算方式</w:t>
            </w:r>
          </w:p>
        </w:tc>
        <w:tc>
          <w:tcPr>
            <w:tcW w:w="3908" w:type="pct"/>
            <w:gridSpan w:val="7"/>
            <w:noWrap w:val="0"/>
            <w:vAlign w:val="top"/>
          </w:tcPr>
          <w:p w14:paraId="39BE2B91">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□现金    □支票    □信用卡    □银行转账    □其他</w:t>
            </w:r>
            <w:r>
              <w:rPr>
                <w:rFonts w:hint="eastAsia" w:ascii="微软雅黑" w:hAnsi="微软雅黑" w:eastAsia="微软雅黑" w:cs="微软雅黑"/>
                <w:sz w:val="24"/>
                <w:szCs w:val="24"/>
                <w:u w:val="single"/>
              </w:rPr>
              <w:t xml:space="preserve">                        </w:t>
            </w:r>
          </w:p>
        </w:tc>
      </w:tr>
      <w:tr w14:paraId="688A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910" w:type="pct"/>
            <w:gridSpan w:val="3"/>
            <w:noWrap w:val="0"/>
            <w:vAlign w:val="top"/>
          </w:tcPr>
          <w:p w14:paraId="1A6578D8">
            <w:pPr>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违约责任</w:t>
            </w:r>
          </w:p>
        </w:tc>
        <w:tc>
          <w:tcPr>
            <w:tcW w:w="4090" w:type="pct"/>
            <w:gridSpan w:val="9"/>
            <w:noWrap w:val="0"/>
            <w:vAlign w:val="top"/>
          </w:tcPr>
          <w:p w14:paraId="1F259B5E">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color w:val="000000"/>
                <w:sz w:val="24"/>
                <w:szCs w:val="24"/>
              </w:rPr>
              <w:t>甲方解除合同的</w:t>
            </w:r>
            <w:r>
              <w:rPr>
                <w:rFonts w:hint="eastAsia" w:ascii="微软雅黑" w:hAnsi="微软雅黑" w:eastAsia="微软雅黑" w:cs="微软雅黑"/>
                <w:sz w:val="24"/>
                <w:szCs w:val="24"/>
              </w:rPr>
              <w:t>，□无权收回定金/□支付概算总价款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％的违约金；</w:t>
            </w:r>
          </w:p>
          <w:p w14:paraId="44266CA7">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color w:val="000000"/>
                <w:sz w:val="24"/>
                <w:szCs w:val="24"/>
              </w:rPr>
              <w:t>乙方解除合同的</w:t>
            </w:r>
            <w:r>
              <w:rPr>
                <w:rFonts w:hint="eastAsia" w:ascii="微软雅黑" w:hAnsi="微软雅黑" w:eastAsia="微软雅黑" w:cs="微软雅黑"/>
                <w:sz w:val="24"/>
                <w:szCs w:val="24"/>
              </w:rPr>
              <w:t>，□双倍返还定金/□支付概算总价款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％的违约金；</w:t>
            </w:r>
          </w:p>
          <w:p w14:paraId="17EF797E">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3、其他：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tc>
      </w:tr>
      <w:tr w14:paraId="18C02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910" w:type="pct"/>
            <w:gridSpan w:val="3"/>
            <w:noWrap w:val="0"/>
            <w:vAlign w:val="top"/>
          </w:tcPr>
          <w:p w14:paraId="3077336F">
            <w:pPr>
              <w:jc w:val="center"/>
              <w:rPr>
                <w:rFonts w:hint="eastAsia" w:ascii="微软雅黑" w:hAnsi="微软雅黑" w:eastAsia="微软雅黑" w:cs="微软雅黑"/>
                <w:sz w:val="24"/>
                <w:szCs w:val="24"/>
              </w:rPr>
            </w:pPr>
            <w:r>
              <w:rPr>
                <w:rFonts w:hint="eastAsia" w:ascii="微软雅黑" w:hAnsi="微软雅黑" w:eastAsia="微软雅黑" w:cs="微软雅黑"/>
                <w:b/>
                <w:sz w:val="24"/>
                <w:szCs w:val="24"/>
              </w:rPr>
              <w:t>其他约定</w:t>
            </w:r>
          </w:p>
        </w:tc>
        <w:tc>
          <w:tcPr>
            <w:tcW w:w="4090" w:type="pct"/>
            <w:gridSpan w:val="9"/>
            <w:noWrap w:val="0"/>
            <w:vAlign w:val="top"/>
          </w:tcPr>
          <w:p w14:paraId="5AC57AEE">
            <w:pPr>
              <w:jc w:val="center"/>
              <w:rPr>
                <w:rFonts w:hint="eastAsia" w:ascii="微软雅黑" w:hAnsi="微软雅黑" w:eastAsia="微软雅黑" w:cs="微软雅黑"/>
                <w:sz w:val="24"/>
                <w:szCs w:val="24"/>
              </w:rPr>
            </w:pPr>
          </w:p>
        </w:tc>
      </w:tr>
      <w:tr w14:paraId="71D8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2"/>
            <w:noWrap w:val="0"/>
            <w:vAlign w:val="top"/>
          </w:tcPr>
          <w:p w14:paraId="7D8AACD9">
            <w:pPr>
              <w:jc w:val="center"/>
              <w:rPr>
                <w:rFonts w:hint="eastAsia" w:ascii="微软雅黑" w:hAnsi="微软雅黑" w:eastAsia="微软雅黑" w:cs="微软雅黑"/>
                <w:sz w:val="24"/>
                <w:szCs w:val="24"/>
              </w:rPr>
            </w:pPr>
            <w:r>
              <w:rPr>
                <w:rFonts w:hint="eastAsia" w:ascii="微软雅黑" w:hAnsi="微软雅黑" w:eastAsia="微软雅黑" w:cs="微软雅黑"/>
                <w:b/>
                <w:sz w:val="24"/>
                <w:szCs w:val="24"/>
              </w:rPr>
              <w:t>请在签字前充分了解本合同有关事宜，认真填写表格，仔细阅读并认可背书合同条款。</w:t>
            </w:r>
          </w:p>
        </w:tc>
      </w:tr>
      <w:tr w14:paraId="0B01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5" w:type="pct"/>
            <w:gridSpan w:val="7"/>
            <w:noWrap w:val="0"/>
            <w:vAlign w:val="top"/>
          </w:tcPr>
          <w:p w14:paraId="5B0D33AF">
            <w:pPr>
              <w:rPr>
                <w:rFonts w:hint="eastAsia" w:ascii="微软雅黑" w:hAnsi="微软雅黑" w:eastAsia="微软雅黑" w:cs="微软雅黑"/>
                <w:sz w:val="24"/>
                <w:szCs w:val="24"/>
              </w:rPr>
            </w:pPr>
            <w:r>
              <w:rPr>
                <w:rFonts w:hint="eastAsia" w:ascii="微软雅黑" w:hAnsi="微软雅黑" w:eastAsia="微软雅黑" w:cs="微软雅黑"/>
                <w:b/>
                <w:sz w:val="24"/>
                <w:szCs w:val="24"/>
              </w:rPr>
              <w:t>旅游者（甲方）签章：</w:t>
            </w:r>
          </w:p>
        </w:tc>
        <w:tc>
          <w:tcPr>
            <w:tcW w:w="2475" w:type="pct"/>
            <w:gridSpan w:val="5"/>
            <w:noWrap w:val="0"/>
            <w:vAlign w:val="top"/>
          </w:tcPr>
          <w:p w14:paraId="3749A89E">
            <w:pPr>
              <w:rPr>
                <w:rFonts w:hint="eastAsia" w:ascii="微软雅黑" w:hAnsi="微软雅黑" w:eastAsia="微软雅黑" w:cs="微软雅黑"/>
                <w:sz w:val="24"/>
                <w:szCs w:val="24"/>
              </w:rPr>
            </w:pPr>
            <w:r>
              <w:rPr>
                <w:rFonts w:hint="eastAsia" w:ascii="微软雅黑" w:hAnsi="微软雅黑" w:eastAsia="微软雅黑" w:cs="微软雅黑"/>
                <w:b/>
                <w:sz w:val="24"/>
                <w:szCs w:val="24"/>
              </w:rPr>
              <w:t>民俗旅游经营者（乙方）盖章：</w:t>
            </w:r>
          </w:p>
        </w:tc>
      </w:tr>
      <w:tr w14:paraId="73218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5" w:type="pct"/>
            <w:gridSpan w:val="7"/>
            <w:noWrap w:val="0"/>
            <w:vAlign w:val="top"/>
          </w:tcPr>
          <w:p w14:paraId="2B6F9E6F">
            <w:pPr>
              <w:rPr>
                <w:rFonts w:hint="eastAsia" w:ascii="微软雅黑" w:hAnsi="微软雅黑" w:eastAsia="微软雅黑" w:cs="微软雅黑"/>
                <w:b/>
                <w:sz w:val="24"/>
                <w:szCs w:val="24"/>
              </w:rPr>
            </w:pPr>
            <w:r>
              <w:rPr>
                <w:rFonts w:hint="eastAsia" w:ascii="微软雅黑" w:hAnsi="微软雅黑" w:eastAsia="微软雅黑" w:cs="微软雅黑"/>
                <w:sz w:val="24"/>
                <w:szCs w:val="24"/>
              </w:rPr>
              <w:t>身份证号：</w:t>
            </w:r>
          </w:p>
        </w:tc>
        <w:tc>
          <w:tcPr>
            <w:tcW w:w="2475" w:type="pct"/>
            <w:gridSpan w:val="5"/>
            <w:noWrap w:val="0"/>
            <w:vAlign w:val="top"/>
          </w:tcPr>
          <w:p w14:paraId="3258C860">
            <w:pPr>
              <w:rPr>
                <w:rFonts w:hint="eastAsia" w:ascii="微软雅黑" w:hAnsi="微软雅黑" w:eastAsia="微软雅黑" w:cs="微软雅黑"/>
                <w:b/>
                <w:sz w:val="24"/>
                <w:szCs w:val="24"/>
              </w:rPr>
            </w:pPr>
            <w:r>
              <w:rPr>
                <w:rFonts w:hint="eastAsia" w:ascii="微软雅黑" w:hAnsi="微软雅黑" w:eastAsia="微软雅黑" w:cs="微软雅黑"/>
                <w:sz w:val="24"/>
                <w:szCs w:val="24"/>
              </w:rPr>
              <w:t>资质证书号：</w:t>
            </w:r>
          </w:p>
        </w:tc>
      </w:tr>
      <w:tr w14:paraId="5E09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5" w:type="pct"/>
            <w:gridSpan w:val="7"/>
            <w:noWrap w:val="0"/>
            <w:vAlign w:val="top"/>
          </w:tcPr>
          <w:p w14:paraId="59DFC019">
            <w:pPr>
              <w:rPr>
                <w:rFonts w:hint="eastAsia" w:ascii="微软雅黑" w:hAnsi="微软雅黑" w:eastAsia="微软雅黑" w:cs="微软雅黑"/>
                <w:b/>
                <w:sz w:val="24"/>
                <w:szCs w:val="24"/>
              </w:rPr>
            </w:pPr>
            <w:r>
              <w:rPr>
                <w:rFonts w:hint="eastAsia" w:ascii="微软雅黑" w:hAnsi="微软雅黑" w:eastAsia="微软雅黑" w:cs="微软雅黑"/>
                <w:sz w:val="24"/>
                <w:szCs w:val="24"/>
              </w:rPr>
              <w:t>联系地址：</w:t>
            </w:r>
          </w:p>
        </w:tc>
        <w:tc>
          <w:tcPr>
            <w:tcW w:w="2475" w:type="pct"/>
            <w:gridSpan w:val="5"/>
            <w:noWrap w:val="0"/>
            <w:vAlign w:val="top"/>
          </w:tcPr>
          <w:p w14:paraId="29E27F09">
            <w:pPr>
              <w:rPr>
                <w:rFonts w:hint="eastAsia" w:ascii="微软雅黑" w:hAnsi="微软雅黑" w:eastAsia="微软雅黑" w:cs="微软雅黑"/>
                <w:b/>
                <w:sz w:val="24"/>
                <w:szCs w:val="24"/>
              </w:rPr>
            </w:pPr>
            <w:r>
              <w:rPr>
                <w:rFonts w:hint="eastAsia" w:ascii="微软雅黑" w:hAnsi="微软雅黑" w:eastAsia="微软雅黑" w:cs="微软雅黑"/>
                <w:sz w:val="24"/>
                <w:szCs w:val="24"/>
              </w:rPr>
              <w:t>联系地址：</w:t>
            </w:r>
          </w:p>
        </w:tc>
      </w:tr>
      <w:tr w14:paraId="6C1E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5" w:type="pct"/>
            <w:gridSpan w:val="7"/>
            <w:noWrap w:val="0"/>
            <w:vAlign w:val="top"/>
          </w:tcPr>
          <w:p w14:paraId="5472A51A">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w:t>
            </w:r>
          </w:p>
        </w:tc>
        <w:tc>
          <w:tcPr>
            <w:tcW w:w="2475" w:type="pct"/>
            <w:gridSpan w:val="5"/>
            <w:noWrap w:val="0"/>
            <w:vAlign w:val="top"/>
          </w:tcPr>
          <w:p w14:paraId="1992CAED">
            <w:pPr>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联系人：</w:t>
            </w:r>
          </w:p>
        </w:tc>
      </w:tr>
      <w:tr w14:paraId="2A43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2"/>
            <w:noWrap w:val="0"/>
            <w:vAlign w:val="top"/>
          </w:tcPr>
          <w:p w14:paraId="6C16503B">
            <w:pPr>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合同签订日期：             年     月     日</w:t>
            </w:r>
          </w:p>
        </w:tc>
      </w:tr>
    </w:tbl>
    <w:p w14:paraId="7E5F15AB">
      <w:pPr>
        <w:spacing w:line="500" w:lineRule="exact"/>
        <w:jc w:val="center"/>
        <w:rPr>
          <w:rFonts w:hint="eastAsia" w:ascii="微软雅黑" w:hAnsi="微软雅黑" w:eastAsia="微软雅黑" w:cs="微软雅黑"/>
          <w:sz w:val="24"/>
          <w:szCs w:val="24"/>
        </w:rPr>
      </w:pPr>
      <w:r>
        <w:rPr>
          <w:rFonts w:hint="eastAsia" w:ascii="微软雅黑" w:hAnsi="微软雅黑" w:eastAsia="微软雅黑" w:cs="微软雅黑"/>
          <w:b/>
          <w:sz w:val="24"/>
          <w:szCs w:val="24"/>
        </w:rPr>
        <w:br w:type="page"/>
      </w:r>
      <w:r>
        <w:rPr>
          <w:rFonts w:hint="eastAsia" w:ascii="微软雅黑" w:hAnsi="微软雅黑" w:eastAsia="微软雅黑" w:cs="微软雅黑"/>
          <w:bCs/>
          <w:spacing w:val="60"/>
          <w:sz w:val="24"/>
          <w:szCs w:val="24"/>
        </w:rPr>
        <w:t>乡村民俗旅游合同条款</w:t>
      </w:r>
    </w:p>
    <w:p w14:paraId="5FF18347">
      <w:pPr>
        <w:autoSpaceDE w:val="0"/>
        <w:autoSpaceDN w:val="0"/>
        <w:adjustRightInd w:val="0"/>
        <w:spacing w:line="500" w:lineRule="exact"/>
        <w:ind w:firstLine="480" w:firstLineChars="200"/>
        <w:jc w:val="left"/>
        <w:rPr>
          <w:rFonts w:hint="eastAsia" w:ascii="微软雅黑" w:hAnsi="微软雅黑" w:eastAsia="微软雅黑" w:cs="微软雅黑"/>
          <w:b/>
          <w:kern w:val="0"/>
          <w:sz w:val="24"/>
          <w:szCs w:val="24"/>
        </w:rPr>
      </w:pPr>
    </w:p>
    <w:p w14:paraId="3811DD41">
      <w:pPr>
        <w:autoSpaceDE w:val="0"/>
        <w:autoSpaceDN w:val="0"/>
        <w:adjustRightInd w:val="0"/>
        <w:spacing w:line="500" w:lineRule="exact"/>
        <w:ind w:firstLine="480" w:firstLineChars="200"/>
        <w:jc w:val="left"/>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一、甲乙双方主要权利义务</w:t>
      </w:r>
    </w:p>
    <w:p w14:paraId="37F0718F">
      <w:pPr>
        <w:autoSpaceDE w:val="0"/>
        <w:autoSpaceDN w:val="0"/>
        <w:adjustRightInd w:val="0"/>
        <w:spacing w:line="500" w:lineRule="exact"/>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rPr>
        <w:t>1.甲方应</w:t>
      </w:r>
      <w:r>
        <w:rPr>
          <w:rFonts w:hint="eastAsia" w:ascii="微软雅黑" w:hAnsi="微软雅黑" w:eastAsia="微软雅黑" w:cs="微软雅黑"/>
          <w:sz w:val="24"/>
          <w:szCs w:val="24"/>
        </w:rPr>
        <w:t>按合同约定的时间、场所文明旅游，遵守公共秩序，尊重社会公德和当地风俗习惯。甲方随身贵重物品应自行妥善保管或交由乙方代为保管。</w:t>
      </w:r>
    </w:p>
    <w:p w14:paraId="15FE427A">
      <w:pPr>
        <w:spacing w:line="500" w:lineRule="exact"/>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w:t>
      </w:r>
      <w:r>
        <w:rPr>
          <w:rFonts w:hint="eastAsia" w:ascii="微软雅黑" w:hAnsi="微软雅黑" w:eastAsia="微软雅黑" w:cs="微软雅黑"/>
          <w:sz w:val="24"/>
          <w:szCs w:val="24"/>
        </w:rPr>
        <w:t>甲方如需利用乙方场地、设施设备布展或举办其他活动的，应事先征得乙方同意。</w:t>
      </w:r>
    </w:p>
    <w:p w14:paraId="78AC64DF">
      <w:pPr>
        <w:autoSpaceDE w:val="0"/>
        <w:autoSpaceDN w:val="0"/>
        <w:adjustRightInd w:val="0"/>
        <w:spacing w:line="500" w:lineRule="exact"/>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sz w:val="24"/>
          <w:szCs w:val="24"/>
        </w:rPr>
        <w:t>3.旅游结束后甲方应即时将未付余款一次性支付给乙方。</w:t>
      </w:r>
    </w:p>
    <w:p w14:paraId="72C60F3D">
      <w:pPr>
        <w:autoSpaceDE w:val="0"/>
        <w:autoSpaceDN w:val="0"/>
        <w:adjustRightInd w:val="0"/>
        <w:spacing w:line="500" w:lineRule="exact"/>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4.甲方应据实结算旅游服务花费的各项费用。若给乙方设施设备造成损失的，应在结算时一并结清。</w:t>
      </w:r>
    </w:p>
    <w:p w14:paraId="6B649EDB">
      <w:pPr>
        <w:autoSpaceDE w:val="0"/>
        <w:autoSpaceDN w:val="0"/>
        <w:adjustRightInd w:val="0"/>
        <w:spacing w:line="500" w:lineRule="exact"/>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5.乙方应按照有关规定悬挂区县级以上旅游主管部门统一制发的牌匾。</w:t>
      </w:r>
    </w:p>
    <w:p w14:paraId="0F02E069">
      <w:pPr>
        <w:spacing w:line="500" w:lineRule="exact"/>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6.乙方应按照合同向甲方提供约定的饮食、住宿、娱乐、代购景点门票及其他服务，严格执行相关法律法规的规定，保证甲方在用餐及住宿期间的人身和财产安全。</w:t>
      </w:r>
      <w:r>
        <w:rPr>
          <w:rFonts w:hint="eastAsia" w:ascii="微软雅黑" w:hAnsi="微软雅黑" w:eastAsia="微软雅黑" w:cs="微软雅黑"/>
          <w:bCs/>
          <w:sz w:val="24"/>
          <w:szCs w:val="24"/>
        </w:rPr>
        <w:t>对可能危及旅游者人身、财产安全的事宜，应向旅游者作出真实说明和明确警示，并积极采取防止危害发生的措施。</w:t>
      </w:r>
    </w:p>
    <w:p w14:paraId="7534F3C4">
      <w:pPr>
        <w:spacing w:line="500" w:lineRule="exact"/>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7.乙方应对其允许的甲方旅游期间的各项活动提供便利，并明示各项具体收费价格。</w:t>
      </w:r>
    </w:p>
    <w:p w14:paraId="67AF6F37">
      <w:pPr>
        <w:spacing w:line="500" w:lineRule="exact"/>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8.除双方约定的费用外，乙方不得收取任何其他费用。</w:t>
      </w:r>
    </w:p>
    <w:p w14:paraId="29A83249">
      <w:pPr>
        <w:spacing w:line="500" w:lineRule="exact"/>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二、违约责任</w:t>
      </w:r>
    </w:p>
    <w:p w14:paraId="79C60B6C">
      <w:pPr>
        <w:autoSpaceDE w:val="0"/>
        <w:autoSpaceDN w:val="0"/>
        <w:adjustRightInd w:val="0"/>
        <w:spacing w:line="500" w:lineRule="exact"/>
        <w:ind w:firstLine="480" w:firstLineChars="200"/>
        <w:jc w:val="left"/>
        <w:rPr>
          <w:rFonts w:hint="eastAsia" w:ascii="微软雅黑" w:hAnsi="微软雅黑" w:eastAsia="微软雅黑" w:cs="微软雅黑"/>
          <w:color w:val="000000"/>
          <w:sz w:val="24"/>
          <w:szCs w:val="24"/>
        </w:rPr>
      </w:pPr>
      <w:r>
        <w:rPr>
          <w:rFonts w:hint="eastAsia" w:ascii="微软雅黑" w:hAnsi="微软雅黑" w:eastAsia="微软雅黑" w:cs="微软雅黑"/>
          <w:sz w:val="24"/>
          <w:szCs w:val="24"/>
        </w:rPr>
        <w:t>1.甲方未按合同约定在乙方处旅游</w:t>
      </w:r>
      <w:r>
        <w:rPr>
          <w:rFonts w:hint="eastAsia" w:ascii="微软雅黑" w:hAnsi="微软雅黑" w:eastAsia="微软雅黑" w:cs="微软雅黑"/>
          <w:color w:val="000000"/>
          <w:sz w:val="24"/>
          <w:szCs w:val="24"/>
        </w:rPr>
        <w:t>或乙方拒绝接待甲方的，应按照合同约定承担违约责任。</w:t>
      </w:r>
    </w:p>
    <w:p w14:paraId="5853B834">
      <w:pPr>
        <w:autoSpaceDE w:val="0"/>
        <w:autoSpaceDN w:val="0"/>
        <w:adjustRightInd w:val="0"/>
        <w:spacing w:line="500" w:lineRule="exact"/>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2.甲方未经乙方允许在乙方经营场所内擅自布展或举办其他活动的，应及时消除影响，给乙方造成损失的，甲方应承担赔偿责任。</w:t>
      </w:r>
    </w:p>
    <w:p w14:paraId="7039C85F">
      <w:pPr>
        <w:autoSpaceDE w:val="0"/>
        <w:autoSpaceDN w:val="0"/>
        <w:adjustRightInd w:val="0"/>
        <w:spacing w:line="500" w:lineRule="exact"/>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3.乙方提供的餐饮、住宿及其他服务不符合合同约定的，应赔偿由此给甲方造成的损失或退还相应差价。</w:t>
      </w:r>
    </w:p>
    <w:p w14:paraId="0E966C44">
      <w:pPr>
        <w:tabs>
          <w:tab w:val="left" w:pos="6150"/>
        </w:tabs>
        <w:spacing w:line="500" w:lineRule="exact"/>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三、不可抗力</w:t>
      </w:r>
    </w:p>
    <w:p w14:paraId="15360886">
      <w:pPr>
        <w:spacing w:line="500" w:lineRule="exact"/>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因发生自然灾害、重大疫情等不可抗力不能履行合同的，经核实后可全部或部分免除违约方责任，但违约方应当及时通知对方，并在合理期限内提供证明。</w:t>
      </w:r>
    </w:p>
    <w:p w14:paraId="4F6BD922">
      <w:pPr>
        <w:tabs>
          <w:tab w:val="left" w:pos="360"/>
        </w:tabs>
        <w:spacing w:line="500" w:lineRule="exact"/>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kern w:val="0"/>
          <w:sz w:val="24"/>
          <w:szCs w:val="24"/>
        </w:rPr>
        <w:t>四、</w:t>
      </w:r>
      <w:r>
        <w:rPr>
          <w:rFonts w:hint="eastAsia" w:ascii="微软雅黑" w:hAnsi="微软雅黑" w:eastAsia="微软雅黑" w:cs="微软雅黑"/>
          <w:b/>
          <w:sz w:val="24"/>
          <w:szCs w:val="24"/>
        </w:rPr>
        <w:t>争议解决方式</w:t>
      </w:r>
    </w:p>
    <w:p w14:paraId="72686A03">
      <w:pPr>
        <w:spacing w:line="500" w:lineRule="exact"/>
        <w:ind w:firstLine="480" w:firstLineChars="200"/>
        <w:rPr>
          <w:rFonts w:hint="eastAsia" w:ascii="微软雅黑" w:hAnsi="微软雅黑" w:eastAsia="微软雅黑" w:cs="微软雅黑"/>
          <w:kern w:val="2"/>
          <w:sz w:val="24"/>
          <w:szCs w:val="24"/>
        </w:rPr>
      </w:pPr>
      <w:r>
        <w:rPr>
          <w:rFonts w:hint="eastAsia" w:ascii="微软雅黑" w:hAnsi="微软雅黑" w:eastAsia="微软雅黑" w:cs="微软雅黑"/>
          <w:kern w:val="2"/>
          <w:sz w:val="24"/>
          <w:szCs w:val="24"/>
        </w:rPr>
        <w:t>凡因本合同引起的或与本合同有关的任何争议，均提交</w:t>
      </w:r>
      <w:r>
        <w:rPr>
          <w:rFonts w:hint="eastAsia" w:ascii="微软雅黑" w:hAnsi="微软雅黑" w:eastAsia="微软雅黑" w:cs="微软雅黑"/>
          <w:kern w:val="2"/>
          <w:sz w:val="24"/>
          <w:szCs w:val="24"/>
          <w:lang w:eastAsia="zh-CN"/>
        </w:rPr>
        <w:t>蚌埠</w:t>
      </w:r>
      <w:r>
        <w:rPr>
          <w:rFonts w:hint="eastAsia" w:ascii="微软雅黑" w:hAnsi="微软雅黑" w:eastAsia="微软雅黑" w:cs="微软雅黑"/>
          <w:kern w:val="2"/>
          <w:sz w:val="24"/>
          <w:szCs w:val="24"/>
        </w:rPr>
        <w:t>仲裁委员会，按照该会的仲裁规则进行仲裁。仲裁裁决是终局的，对双方均有约束力。</w:t>
      </w:r>
    </w:p>
    <w:p w14:paraId="3C4FD621">
      <w:pPr>
        <w:spacing w:line="500" w:lineRule="exact"/>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五、送达地址以及送达条款</w:t>
      </w:r>
    </w:p>
    <w:p w14:paraId="122735EE">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（1）送达地址以及方式</w:t>
      </w:r>
    </w:p>
    <w:p w14:paraId="7CA0A055">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送达地址</w:t>
      </w:r>
    </w:p>
    <w:p w14:paraId="6C418F5F">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甲方确认送达地址如下：</w:t>
      </w:r>
    </w:p>
    <w:p w14:paraId="3BB5A0A4">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地址：    省    市    区/县    路    号，</w:t>
      </w:r>
    </w:p>
    <w:p w14:paraId="2DCB5303">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邮编：            ，</w:t>
      </w:r>
    </w:p>
    <w:p w14:paraId="58CADC81">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联系人：      ，</w:t>
      </w:r>
    </w:p>
    <w:p w14:paraId="2C8D9DE3">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联系电话：      -            。</w:t>
      </w:r>
    </w:p>
    <w:p w14:paraId="187455EB">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甲方电子送达方式如下：</w:t>
      </w:r>
    </w:p>
    <w:p w14:paraId="5E8EB37D">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 xml:space="preserve">手机短信：                  </w:t>
      </w:r>
    </w:p>
    <w:p w14:paraId="7002E8DE">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 xml:space="preserve">传真：      -            </w:t>
      </w:r>
    </w:p>
    <w:p w14:paraId="2B635759">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 xml:space="preserve">即时通讯账号（微信号）：                  </w:t>
      </w:r>
    </w:p>
    <w:p w14:paraId="5FC27FB3">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电子邮箱：            。</w:t>
      </w:r>
    </w:p>
    <w:p w14:paraId="68D9E3E3">
      <w:pPr>
        <w:spacing w:line="500" w:lineRule="exact"/>
        <w:ind w:firstLine="480" w:firstLineChars="200"/>
        <w:rPr>
          <w:rFonts w:hint="eastAsia" w:ascii="微软雅黑" w:hAnsi="微软雅黑" w:eastAsia="微软雅黑" w:cs="微软雅黑"/>
          <w:b w:val="0"/>
          <w:bCs/>
          <w:kern w:val="0"/>
          <w:sz w:val="24"/>
          <w:szCs w:val="24"/>
        </w:rPr>
      </w:pPr>
    </w:p>
    <w:p w14:paraId="7288AE39">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乙方确认送达地址如下：</w:t>
      </w:r>
    </w:p>
    <w:p w14:paraId="5C7D36F5">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地址：    省    市    区/县    路    号，</w:t>
      </w:r>
    </w:p>
    <w:p w14:paraId="5EF49DEF">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邮编：            ，</w:t>
      </w:r>
    </w:p>
    <w:p w14:paraId="7A179D8C">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联系人：      ，</w:t>
      </w:r>
    </w:p>
    <w:p w14:paraId="4392534C">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联系电话：      -            。</w:t>
      </w:r>
    </w:p>
    <w:p w14:paraId="488F1F90">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乙方电子送达方式如下：</w:t>
      </w:r>
    </w:p>
    <w:p w14:paraId="242AB4A1">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 xml:space="preserve">手机短信：                  </w:t>
      </w:r>
    </w:p>
    <w:p w14:paraId="29691F99">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 xml:space="preserve">传真：      -            </w:t>
      </w:r>
    </w:p>
    <w:p w14:paraId="41510EF0">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 xml:space="preserve">即时通讯账号（微信号）：                  </w:t>
      </w:r>
    </w:p>
    <w:p w14:paraId="56407E2F">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电子邮箱：</w:t>
      </w:r>
    </w:p>
    <w:p w14:paraId="00E03E7E">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送达方式</w:t>
      </w:r>
    </w:p>
    <w:p w14:paraId="52830EA7">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双方同意，本合同项下的通知、函件、诉讼文书等文件，以下列方式送达对方：</w:t>
      </w:r>
    </w:p>
    <w:p w14:paraId="0133F390">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直接送达：将文件送至对方指定的送达地址，视为已送达；</w:t>
      </w:r>
    </w:p>
    <w:p w14:paraId="0AEFE6F4">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邮寄送达：将文件通过挂号信、特快专递等方式寄至对方指定的送达地址，以邮戳日期为准，视为已送达；</w:t>
      </w:r>
    </w:p>
    <w:p w14:paraId="1689012A">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电子送达：将文件通过电子邮件、短信、微信等方式发送至对方指定的电子邮箱、手机号码等，发送成功即视为已送达。</w:t>
      </w:r>
    </w:p>
    <w:p w14:paraId="167482A8">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（2）送达条款</w:t>
      </w:r>
    </w:p>
    <w:p w14:paraId="4D4063D3">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本送达条款适用于合同履行期间及合同纠纷解决过程中的所有文件送达。</w:t>
      </w:r>
    </w:p>
    <w:p w14:paraId="17FF1797">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0AD2924">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双方在合同履行过程中由双方共同明示或默示确认的合同约定外的送达地址和联系方式不影响送达效力。</w:t>
      </w:r>
    </w:p>
    <w:p w14:paraId="6050FDB5">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双方认同电子送达效力，合同履行过程中或法院、仲裁委员会按照法律或适时有效的仲裁规则需要进行电子送达的，内容自进入双方接收系统之日起，视为送达成功。</w:t>
      </w:r>
    </w:p>
    <w:p w14:paraId="5C41F5CC">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双方应当保证本合同约定送达地址以及联系方式为有效地址及联系方式。一方变更送达信息的，应在变更后一日内通知对方，未及时通知的，发送方按照原约定方式送达，视为送达成功。</w:t>
      </w:r>
    </w:p>
    <w:p w14:paraId="42B4F4B1">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双方发生争议，关于裁判机构的送达文书，接收方存在以下行为之一的，</w:t>
      </w:r>
      <w:r>
        <w:rPr>
          <w:rFonts w:hint="eastAsia" w:ascii="微软雅黑" w:hAnsi="微软雅黑" w:eastAsia="微软雅黑" w:cs="微软雅黑"/>
          <w:b w:val="0"/>
          <w:bCs/>
          <w:kern w:val="0"/>
          <w:sz w:val="24"/>
          <w:szCs w:val="24"/>
          <w:lang w:eastAsia="zh-CN"/>
        </w:rPr>
        <w:t>蚌埠</w:t>
      </w:r>
      <w:r>
        <w:rPr>
          <w:rFonts w:hint="eastAsia" w:ascii="微软雅黑" w:hAnsi="微软雅黑" w:eastAsia="微软雅黑" w:cs="微软雅黑"/>
          <w:b w:val="0"/>
          <w:bCs/>
          <w:kern w:val="0"/>
          <w:sz w:val="24"/>
          <w:szCs w:val="24"/>
        </w:rPr>
        <w:t>仲裁委员会有权依据法律和适时有效的仲裁规则规定进行送达，法律与仲裁规则规定程序完成之日，视为送达成功：</w:t>
      </w:r>
    </w:p>
    <w:p w14:paraId="28899667">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擅自变更送达地址及信息且未及时通知对方的；</w:t>
      </w:r>
    </w:p>
    <w:p w14:paraId="30A97BF5">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送达地址与信息同工商登记信息不一致且未及时更改的；</w:t>
      </w:r>
    </w:p>
    <w:p w14:paraId="532CFBA1">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故意不接收</w:t>
      </w:r>
      <w:r>
        <w:rPr>
          <w:rFonts w:hint="eastAsia" w:ascii="微软雅黑" w:hAnsi="微软雅黑" w:eastAsia="微软雅黑" w:cs="微软雅黑"/>
          <w:b w:val="0"/>
          <w:bCs/>
          <w:kern w:val="0"/>
          <w:sz w:val="24"/>
          <w:szCs w:val="24"/>
          <w:lang w:eastAsia="zh-CN"/>
        </w:rPr>
        <w:t>蚌埠</w:t>
      </w:r>
      <w:r>
        <w:rPr>
          <w:rFonts w:hint="eastAsia" w:ascii="微软雅黑" w:hAnsi="微软雅黑" w:eastAsia="微软雅黑" w:cs="微软雅黑"/>
          <w:b w:val="0"/>
          <w:bCs/>
          <w:kern w:val="0"/>
          <w:sz w:val="24"/>
          <w:szCs w:val="24"/>
        </w:rPr>
        <w:t>仲裁委员会送达文书的；</w:t>
      </w:r>
    </w:p>
    <w:p w14:paraId="3FA554ED">
      <w:pPr>
        <w:spacing w:line="500" w:lineRule="exact"/>
        <w:ind w:firstLine="480" w:firstLineChars="200"/>
        <w:rPr>
          <w:rFonts w:hint="eastAsia" w:ascii="微软雅黑" w:hAnsi="微软雅黑" w:eastAsia="微软雅黑" w:cs="微软雅黑"/>
          <w:b w:val="0"/>
          <w:bCs/>
          <w:kern w:val="0"/>
          <w:sz w:val="24"/>
          <w:szCs w:val="24"/>
        </w:rPr>
      </w:pPr>
      <w:r>
        <w:rPr>
          <w:rFonts w:hint="eastAsia" w:ascii="微软雅黑" w:hAnsi="微软雅黑" w:eastAsia="微软雅黑" w:cs="微软雅黑"/>
          <w:b w:val="0"/>
          <w:bCs/>
          <w:kern w:val="0"/>
          <w:sz w:val="24"/>
          <w:szCs w:val="24"/>
        </w:rPr>
        <w:t>因接收方过错造成无法正常送达的其他行为。</w:t>
      </w:r>
    </w:p>
    <w:p w14:paraId="0DA521E3">
      <w:pPr>
        <w:spacing w:line="500" w:lineRule="exact"/>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lang w:val="en-US" w:eastAsia="zh-CN"/>
        </w:rPr>
        <w:t>六、</w:t>
      </w:r>
      <w:r>
        <w:rPr>
          <w:rFonts w:hint="eastAsia" w:ascii="微软雅黑" w:hAnsi="微软雅黑" w:eastAsia="微软雅黑" w:cs="微软雅黑"/>
          <w:b/>
          <w:kern w:val="0"/>
          <w:sz w:val="24"/>
          <w:szCs w:val="24"/>
        </w:rPr>
        <w:t>未尽事宜，双方应协商解决</w:t>
      </w:r>
    </w:p>
    <w:p w14:paraId="1D39FD98">
      <w:pPr>
        <w:spacing w:line="500" w:lineRule="exact"/>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本合同一式两份，双方各执一份。本合同在双方签字或盖章后生效。</w:t>
      </w:r>
    </w:p>
    <w:p w14:paraId="3988C475">
      <w:pPr>
        <w:rPr>
          <w:rFonts w:hint="eastAsia" w:ascii="微软雅黑" w:hAnsi="微软雅黑" w:eastAsia="微软雅黑" w:cs="微软雅黑"/>
          <w:sz w:val="24"/>
          <w:szCs w:val="24"/>
        </w:rPr>
      </w:pPr>
    </w:p>
    <w:p w14:paraId="1CF1F3C9">
      <w:pPr>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5429DD"/>
    <w:rsid w:val="265429DD"/>
    <w:rsid w:val="403E2DA2"/>
    <w:rsid w:val="60220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widowControl/>
      <w:spacing w:line="360" w:lineRule="auto"/>
      <w:ind w:firstLine="420"/>
    </w:pPr>
    <w:rPr>
      <w:rFonts w:ascii="楷体_GB2312" w:eastAsia="楷体_GB2312"/>
      <w:kern w:val="0"/>
      <w:sz w:val="2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2047</Words>
  <Characters>2066</Characters>
  <Lines>0</Lines>
  <Paragraphs>0</Paragraphs>
  <TotalTime>1</TotalTime>
  <ScaleCrop>false</ScaleCrop>
  <LinksUpToDate>false</LinksUpToDate>
  <CharactersWithSpaces>2878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2024-11-22T07:42:00Z</dcterms:created>
  <dc:creator>黑锅淡淡</dc:creator>
  <cp:lastModifiedBy>豪</cp:lastModifiedBy>
  <dcterms:modified xsi:type="dcterms:W3CDTF">2026-03-20T11:20:34Z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6BF8A76C1E3141C6A11DC3A6E931C0B7_11</vt:lpwstr>
  </property>
  <property fmtid="{D5CDD505-2E9C-101B-9397-08002B2CF9AE}" pid="4" name="KSOTemplateDocerSaveRecord">
    <vt:lpwstr>eyJoZGlkIjoiNTg0MzMyNGJiMDEzODc5ODNlMGVjODViOWRkZjg1MDgiLCJ1c2VySWQiOiIxMjc2Mzc3NjgxIn0=</vt:lpwstr>
  </property>
</Properties>
</file>