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F3A486">
      <w:pPr>
        <w:keepNext w:val="0"/>
        <w:keepLines w:val="0"/>
        <w:pageBreakBefore w:val="0"/>
        <w:widowControl w:val="0"/>
        <w:kinsoku/>
        <w:wordWrap/>
        <w:overflowPunct/>
        <w:topLinePunct w:val="0"/>
        <w:bidi w:val="0"/>
        <w:adjustRightInd/>
        <w:snapToGrid/>
        <w:spacing w:line="360" w:lineRule="auto"/>
        <w:jc w:val="center"/>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p>
    <w:p w14:paraId="70363FC0">
      <w:pPr>
        <w:keepNext w:val="0"/>
        <w:keepLines w:val="0"/>
        <w:pageBreakBefore w:val="0"/>
        <w:widowControl w:val="0"/>
        <w:kinsoku/>
        <w:wordWrap/>
        <w:overflowPunct/>
        <w:topLinePunct w:val="0"/>
        <w:bidi w:val="0"/>
        <w:adjustRightInd/>
        <w:snapToGrid/>
        <w:spacing w:line="360" w:lineRule="auto"/>
        <w:jc w:val="center"/>
        <w:textAlignment w:val="auto"/>
        <w:rPr>
          <w:rFonts w:hint="eastAsia" w:ascii="微软雅黑" w:hAnsi="微软雅黑" w:eastAsia="微软雅黑" w:cs="微软雅黑"/>
          <w:color w:val="000000" w:themeColor="text1"/>
          <w:spacing w:val="57"/>
          <w:sz w:val="36"/>
          <w:szCs w:val="36"/>
          <w:lang w:val="en-US" w:eastAsia="zh-CN"/>
          <w14:textFill>
            <w14:solidFill>
              <w14:schemeClr w14:val="tx1"/>
            </w14:solidFill>
          </w14:textFill>
        </w:rPr>
      </w:pPr>
      <w:bookmarkStart w:id="0" w:name="_GoBack"/>
      <w:r>
        <w:rPr>
          <w:rFonts w:hint="eastAsia" w:ascii="微软雅黑" w:hAnsi="微软雅黑" w:eastAsia="微软雅黑" w:cs="微软雅黑"/>
          <w:b/>
          <w:bCs/>
          <w:color w:val="000000" w:themeColor="text1"/>
          <w:spacing w:val="57"/>
          <w:sz w:val="36"/>
          <w:szCs w:val="36"/>
          <w14:textFill>
            <w14:solidFill>
              <w14:schemeClr w14:val="tx1"/>
            </w14:solidFill>
          </w14:textFill>
        </w:rPr>
        <w:t>物业服务合同</w:t>
      </w:r>
    </w:p>
    <w:bookmarkEnd w:id="0"/>
    <w:p w14:paraId="4F68AF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2A7072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甲方</w:t>
      </w:r>
      <w:r>
        <w:rPr>
          <w:rFonts w:hint="eastAsia" w:ascii="微软雅黑" w:hAnsi="微软雅黑" w:eastAsia="微软雅黑" w:cs="微软雅黑"/>
          <w:b/>
          <w:bCs/>
          <w:color w:val="000000" w:themeColor="text1"/>
          <w:sz w:val="24"/>
          <w:szCs w:val="24"/>
          <w:lang w:eastAsia="zh-CN"/>
          <w14:textFill>
            <w14:solidFill>
              <w14:schemeClr w14:val="tx1"/>
            </w14:solidFill>
          </w14:textFill>
        </w:rPr>
        <w:t>（委托方）</w:t>
      </w:r>
      <w:r>
        <w:rPr>
          <w:rFonts w:hint="eastAsia" w:ascii="微软雅黑" w:hAnsi="微软雅黑" w:eastAsia="微软雅黑" w:cs="微软雅黑"/>
          <w:b/>
          <w:bCs/>
          <w:color w:val="000000" w:themeColor="text1"/>
          <w:sz w:val="24"/>
          <w:szCs w:val="24"/>
          <w14:textFill>
            <w14:solidFill>
              <w14:schemeClr w14:val="tx1"/>
            </w14:solidFill>
          </w14:textFill>
        </w:rPr>
        <w:t>：</w:t>
      </w:r>
    </w:p>
    <w:p w14:paraId="309D78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b/>
          <w:bCs/>
          <w:color w:val="000000" w:themeColor="text1"/>
          <w:sz w:val="24"/>
          <w:szCs w:val="24"/>
          <w:lang w:eastAsia="zh-CN"/>
          <w14:textFill>
            <w14:solidFill>
              <w14:schemeClr w14:val="tx1"/>
            </w14:solidFill>
          </w14:textFill>
        </w:rPr>
      </w:pPr>
      <w:r>
        <w:rPr>
          <w:rFonts w:hint="eastAsia" w:ascii="微软雅黑" w:hAnsi="微软雅黑" w:eastAsia="微软雅黑" w:cs="微软雅黑"/>
          <w:b/>
          <w:bCs/>
          <w:color w:val="000000" w:themeColor="text1"/>
          <w:sz w:val="24"/>
          <w:szCs w:val="24"/>
          <w:lang w:eastAsia="zh-CN"/>
          <w14:textFill>
            <w14:solidFill>
              <w14:schemeClr w14:val="tx1"/>
            </w14:solidFill>
          </w14:textFill>
        </w:rPr>
        <w:t>统一社会信用代码：</w:t>
      </w:r>
    </w:p>
    <w:p w14:paraId="2CE04D0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乙方</w:t>
      </w:r>
      <w:r>
        <w:rPr>
          <w:rFonts w:hint="eastAsia" w:ascii="微软雅黑" w:hAnsi="微软雅黑" w:eastAsia="微软雅黑" w:cs="微软雅黑"/>
          <w:b/>
          <w:bCs/>
          <w:color w:val="000000" w:themeColor="text1"/>
          <w:sz w:val="24"/>
          <w:szCs w:val="24"/>
          <w:lang w:eastAsia="zh-CN"/>
          <w14:textFill>
            <w14:solidFill>
              <w14:schemeClr w14:val="tx1"/>
            </w14:solidFill>
          </w14:textFill>
        </w:rPr>
        <w:t>（服务方）</w:t>
      </w:r>
      <w:r>
        <w:rPr>
          <w:rFonts w:hint="eastAsia" w:ascii="微软雅黑" w:hAnsi="微软雅黑" w:eastAsia="微软雅黑" w:cs="微软雅黑"/>
          <w:b/>
          <w:bCs/>
          <w:color w:val="000000" w:themeColor="text1"/>
          <w:sz w:val="24"/>
          <w:szCs w:val="24"/>
          <w14:textFill>
            <w14:solidFill>
              <w14:schemeClr w14:val="tx1"/>
            </w14:solidFill>
          </w14:textFill>
        </w:rPr>
        <w:t>：</w:t>
      </w:r>
    </w:p>
    <w:p w14:paraId="38827E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b/>
          <w:bCs/>
          <w:color w:val="000000" w:themeColor="text1"/>
          <w:sz w:val="24"/>
          <w:szCs w:val="24"/>
          <w:lang w:eastAsia="zh-CN"/>
          <w14:textFill>
            <w14:solidFill>
              <w14:schemeClr w14:val="tx1"/>
            </w14:solidFill>
          </w14:textFill>
        </w:rPr>
      </w:pPr>
      <w:r>
        <w:rPr>
          <w:rFonts w:hint="eastAsia" w:ascii="微软雅黑" w:hAnsi="微软雅黑" w:eastAsia="微软雅黑" w:cs="微软雅黑"/>
          <w:b/>
          <w:bCs/>
          <w:color w:val="000000" w:themeColor="text1"/>
          <w:sz w:val="24"/>
          <w:szCs w:val="24"/>
          <w:lang w:eastAsia="zh-CN"/>
          <w14:textFill>
            <w14:solidFill>
              <w14:schemeClr w14:val="tx1"/>
            </w14:solidFill>
          </w14:textFill>
        </w:rPr>
        <w:t>统一社会信用代码：</w:t>
      </w:r>
    </w:p>
    <w:p w14:paraId="674E94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21FAE7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根据国家、地方有关物业管理法律、法规和政策，在平等、自愿、协商一致的基础上，甲方将其物业管理</w:t>
      </w:r>
      <w:r>
        <w:rPr>
          <w:rFonts w:hint="eastAsia" w:ascii="微软雅黑" w:hAnsi="微软雅黑" w:eastAsia="微软雅黑" w:cs="微软雅黑"/>
          <w:color w:val="000000" w:themeColor="text1"/>
          <w:sz w:val="24"/>
          <w:szCs w:val="24"/>
          <w:lang w:eastAsia="zh-CN"/>
          <w14:textFill>
            <w14:solidFill>
              <w14:schemeClr w14:val="tx1"/>
            </w14:solidFill>
          </w14:textFill>
        </w:rPr>
        <w:t>服务</w:t>
      </w:r>
      <w:r>
        <w:rPr>
          <w:rFonts w:hint="eastAsia" w:ascii="微软雅黑" w:hAnsi="微软雅黑" w:eastAsia="微软雅黑" w:cs="微软雅黑"/>
          <w:color w:val="000000" w:themeColor="text1"/>
          <w:sz w:val="24"/>
          <w:szCs w:val="24"/>
          <w14:textFill>
            <w14:solidFill>
              <w14:schemeClr w14:val="tx1"/>
            </w14:solidFill>
          </w14:textFill>
        </w:rPr>
        <w:t>工作委托乙方统一管理，经甲乙双方协商一致订立本合同。</w:t>
      </w:r>
    </w:p>
    <w:p w14:paraId="3E872A03">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第一条 物业基本情况</w:t>
      </w:r>
    </w:p>
    <w:p w14:paraId="3016675B">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2B8BF324">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4BBF84AA">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第二条 服务内容</w:t>
      </w:r>
    </w:p>
    <w:p w14:paraId="3716C907">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1．房屋建筑本体共用部位（共用部位是指两家或两家以上租户共同使用的区域）的维修、养护和管理。</w:t>
      </w:r>
    </w:p>
    <w:p w14:paraId="0BB9933B">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2．房屋建筑本体的共用设施设备的维修、养护、管理和运行服务。</w:t>
      </w:r>
    </w:p>
    <w:p w14:paraId="1078D720">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3.本物业规划红线内的道路、路灯、绿化、给排水系统的维修、养护和管理。 </w:t>
      </w:r>
    </w:p>
    <w:p w14:paraId="7AE8BA0A">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4．本物业规划红线内共用部位的环境卫生，包括清扫、垃圾收集、清运等工作。</w:t>
      </w:r>
    </w:p>
    <w:p w14:paraId="253C5E98">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5．本物业范围公共区域内营运秩序管理工作。积极配合当地公安机关进行治安管理，维护场站内治安秩序。</w:t>
      </w:r>
    </w:p>
    <w:p w14:paraId="4B0FEC2D">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6、除上述范围外，需要乙方提供物业服务的，甲方应按等价有偿的原则向乙方支付费用。</w:t>
      </w:r>
    </w:p>
    <w:p w14:paraId="77C57C4E">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7、每月水、电等费用的代收代缴。</w:t>
      </w:r>
    </w:p>
    <w:p w14:paraId="7D1C062F">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49AB1A3C">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第三条 合同期限</w:t>
      </w:r>
    </w:p>
    <w:p w14:paraId="615D917B">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本合同期限叁年，自</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 月  日起至</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 xml:space="preserve">年 </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 xml:space="preserve"> 月</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日止。</w:t>
      </w:r>
    </w:p>
    <w:p w14:paraId="0F3BC3B0">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7A57EBF6">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第四条 管理服务费用</w:t>
      </w:r>
    </w:p>
    <w:p w14:paraId="36ED288B">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管理服务费为每年</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元（大写：</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元整）包干，此费用不包含甲方每月产生的水、电费等费用。叁年总费用为</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元（大写：</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元整）。此费用为含税价。此服务的不含税价为  元，税率为  %。如遇国家政策调整增值税税率按照国家政策变更税率执行，甲方支付的服务费不含税价不变，应支付的服务总包价为：不含税价</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元加上国家调整后的新税率计算的增值税额。</w:t>
      </w:r>
    </w:p>
    <w:p w14:paraId="223AED79">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0069BF6F">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第五条 管理服务费用的支付</w:t>
      </w:r>
    </w:p>
    <w:p w14:paraId="7CC45D40">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1.每年度管理服务费于当年</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日前支付到乙方指定账户，即</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元（大写：</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元整）。乙方收款时应向甲方出具增值税专用发票。费用支付均以乙方开具增值税专用发票为前提，如因乙方原因延迟开具增值税专用发票的，甲方将延迟支付上述款项。</w:t>
      </w:r>
    </w:p>
    <w:p w14:paraId="6B910315">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2.乙方指定收款人、开户银行和账号为：</w:t>
      </w:r>
    </w:p>
    <w:p w14:paraId="4AF51C7D">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收款人：</w:t>
      </w:r>
    </w:p>
    <w:p w14:paraId="193CABBF">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开户行：</w:t>
      </w:r>
    </w:p>
    <w:p w14:paraId="27413EEA">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账号:</w:t>
      </w:r>
    </w:p>
    <w:p w14:paraId="518B5017">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3.甲方开票信息</w:t>
      </w:r>
    </w:p>
    <w:p w14:paraId="36DA7DC5">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单位名称：</w:t>
      </w:r>
    </w:p>
    <w:p w14:paraId="5CBB6E7B">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帐号：</w:t>
      </w:r>
    </w:p>
    <w:p w14:paraId="55054E6C">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开户银行：</w:t>
      </w:r>
    </w:p>
    <w:p w14:paraId="4975614B">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纳税人识别号：</w:t>
      </w:r>
    </w:p>
    <w:p w14:paraId="5663DDD8">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地址：</w:t>
      </w:r>
    </w:p>
    <w:p w14:paraId="650E734F">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联系电话：</w:t>
      </w:r>
    </w:p>
    <w:p w14:paraId="07B5D7DF">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7FA7C75C">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第六条 甲方的权利和义务</w:t>
      </w:r>
    </w:p>
    <w:p w14:paraId="3DBB7640">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1.甲方应积极支持配合乙方依法或依本合同规定内容所进行的管理活动；遵守乙方制定的各项物业管理规定和要求。</w:t>
      </w:r>
    </w:p>
    <w:p w14:paraId="43F56AEA">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2.甲方不得违反法律、法规以及管理规约，将该物业用作任何违法用途。在经营活动中，必须遵守国家法律、法规，合法经营、文明经营、合法从业，并接受有关职能部门的检查、监督，加强安全管理。</w:t>
      </w:r>
    </w:p>
    <w:p w14:paraId="7642BAC0">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甲方存放在本物业内的商品、物品由甲方自行保管。不得在本物业内存放易燃易爆、化学危险品；甲方负责所租赁物业范围内的消防和安全保卫工作，配合乙方做好共用部位、公共场所的消防、安全、环境等工作，并与乙方签订消防责任书和安全保卫责任书。</w:t>
      </w:r>
    </w:p>
    <w:p w14:paraId="7183D5F3">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4.甲方应按合同约定及时支付各项费用，包括但不限于物业管理费、水电费（含公摊部分的费用）、垃圾清运费、绿化管养费、维修费及其他合同中未约定，但应由甲方承担的各项费用。</w:t>
      </w:r>
    </w:p>
    <w:p w14:paraId="78D42C0A">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5.积极配合协助乙方做好物业管理相关工作和宣传教育活动。</w:t>
      </w:r>
    </w:p>
    <w:p w14:paraId="4973FB54">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5E10CB63">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第七条 乙方的权利和义务</w:t>
      </w:r>
    </w:p>
    <w:p w14:paraId="699BDD54">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乙方有权按国家、地方物业管理服务收费规定及本合同约定收费标准收取物业管理服务费。有权每月按时向甲方收取水电费及其他需要甲方及乙方分摊的费用，甲方支付水电费的时间为接到乙方出示的水、电等相关行政主管部门的缴费单之日起的七日内。总表与各分表之和出现差额时（即水损、电损），差额部分按各租户实际使用量进行分摊。</w:t>
      </w:r>
    </w:p>
    <w:p w14:paraId="2155837A">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2.有权依照法规政策、本合同和物业管理规定对违反物业管理规定和物业管理法规政策的行为进行处理。</w:t>
      </w:r>
    </w:p>
    <w:p w14:paraId="2274D3E7">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3.乙方有权根据需要选聘专业公司承担本物业的专项管理业务并支付费用，但不得将整体管理责任及利益转让给其他人或单位，不得将重要专项业务承包给个人。</w:t>
      </w:r>
    </w:p>
    <w:p w14:paraId="650C96F9">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4.不承担对租户和租户承租区域内租户的客商、顾客的人身、财产的保管保险义务。</w:t>
      </w:r>
    </w:p>
    <w:p w14:paraId="07F54D87">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5.承包期间，乙方要对其所安排的保洁人员进行教育、管理，严格遵守国家的法律、法规以及甲方有关安全、保卫管理等各项规章制度。若因乙方原因造成安全事故，责任由乙方承担。</w:t>
      </w:r>
    </w:p>
    <w:p w14:paraId="1A386105">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6.严禁乙方人员开关甲方停放的公交车辆的电源、发动、移动车辆，如有违规、违反行为，造成车辆损坏及发生事故，乙方承担全部责任。</w:t>
      </w:r>
    </w:p>
    <w:p w14:paraId="16EA76CD">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6CCF3135">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第八条 免责条款：</w:t>
      </w:r>
    </w:p>
    <w:p w14:paraId="4DE9737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6397B456">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2．当出现双方在订立合同时无法预见的、不属于商业风险的重大变化，双方不能协商变更合同导致合同解除的，双方互不承担违约责任。</w:t>
      </w:r>
    </w:p>
    <w:p w14:paraId="7AF6D9E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rPr>
          <w:rFonts w:hint="eastAsia" w:ascii="微软雅黑" w:hAnsi="微软雅黑" w:eastAsia="微软雅黑" w:cs="微软雅黑"/>
          <w:color w:val="000000" w:themeColor="text1"/>
          <w:sz w:val="24"/>
          <w:szCs w:val="24"/>
          <w:lang w:eastAsia="zh-Hans"/>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3．因治安管理案件或刑事犯罪案件，包括但不限于故意伤害、爆炸、偷盗、抢劫等导致人身伤害或财产损失的，由行为人承担责任。 </w:t>
      </w:r>
    </w:p>
    <w:p w14:paraId="68A6C45E">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bCs/>
          <w:color w:val="000000" w:themeColor="text1"/>
          <w:sz w:val="24"/>
          <w:szCs w:val="24"/>
          <w14:textFill>
            <w14:solidFill>
              <w14:schemeClr w14:val="tx1"/>
            </w14:solidFill>
          </w14:textFill>
        </w:rPr>
      </w:pPr>
    </w:p>
    <w:p w14:paraId="776E18DE">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lang w:eastAsia="zh-CN"/>
          <w14:textFill>
            <w14:solidFill>
              <w14:schemeClr w14:val="tx1"/>
            </w14:solidFill>
          </w14:textFill>
        </w:rPr>
        <w:t>第九条</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b/>
          <w:bCs/>
          <w:color w:val="000000" w:themeColor="text1"/>
          <w:sz w:val="24"/>
          <w:szCs w:val="24"/>
          <w14:textFill>
            <w14:solidFill>
              <w14:schemeClr w14:val="tx1"/>
            </w14:solidFill>
          </w14:textFill>
        </w:rPr>
        <w:t>违约责任</w:t>
      </w:r>
    </w:p>
    <w:p w14:paraId="36D2DD64">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 若甲方逾期十日仍未缴清费用，每迟延一天，按拖欠服务费的万分之五向乙方支付违约金。</w:t>
      </w:r>
    </w:p>
    <w:p w14:paraId="14E0C5DC">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2.如因乙方管理原因，造成甲方经济损失的，乙方应给予甲方相应赔偿。甲方损失包含但不限于：直接损失、预期利益损失、甲方向第三人支付的违约金、赔偿金及甲方为索赔支出的诉讼费、律师费、交通费、保全费、保全担保费、鉴定费、公证费、评估费等全部费用。甲方有权要求乙方限期整改，期满整改不合格的，甲方有权单方解除本合同。  </w:t>
      </w:r>
    </w:p>
    <w:p w14:paraId="1678AE20">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3.乙方提供的服务达不到本协议要求或者《物业管理条例》规定的，甲方有权要求降低服务费标准或者解除本合同。</w:t>
      </w:r>
    </w:p>
    <w:p w14:paraId="6844268F">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甲乙双方无正当理由不得无故终止和解除合同，若提前终止合同，需提前30个工作日书面通知对方。双方任意一方提前解除合同的，除承担守约方损失外，还应按年服务费的20%向守约方支付违约金，甲方提前退租的除外。</w:t>
      </w:r>
    </w:p>
    <w:p w14:paraId="3E44C704">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20AEDF95">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w:t>
      </w:r>
      <w:r>
        <w:rPr>
          <w:rFonts w:hint="eastAsia" w:ascii="微软雅黑" w:hAnsi="微软雅黑" w:eastAsia="微软雅黑" w:cs="微软雅黑"/>
          <w:b/>
          <w:bCs/>
          <w:color w:val="000000" w:themeColor="text1"/>
          <w:sz w:val="24"/>
          <w:szCs w:val="24"/>
          <w:lang w:eastAsia="zh-CN"/>
          <w14:textFill>
            <w14:solidFill>
              <w14:schemeClr w14:val="tx1"/>
            </w14:solidFill>
          </w14:textFill>
        </w:rPr>
        <w:t>十</w:t>
      </w:r>
      <w:r>
        <w:rPr>
          <w:rFonts w:hint="eastAsia" w:ascii="微软雅黑" w:hAnsi="微软雅黑" w:eastAsia="微软雅黑" w:cs="微软雅黑"/>
          <w:b/>
          <w:bCs/>
          <w:color w:val="000000" w:themeColor="text1"/>
          <w:sz w:val="24"/>
          <w:szCs w:val="24"/>
          <w14:textFill>
            <w14:solidFill>
              <w14:schemeClr w14:val="tx1"/>
            </w14:solidFill>
          </w14:textFill>
        </w:rPr>
        <w:t>条 其他约定</w:t>
      </w:r>
    </w:p>
    <w:p w14:paraId="7DBC906A">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1.甲乙双方可对本合同的条款进行修订更改或补充，以书面合同为准，补充协议与本合同具有同等效力。</w:t>
      </w:r>
    </w:p>
    <w:p w14:paraId="66D24605">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2.合同规定的管理期满，本合同自然终止，双方如续订合同，应在本合同期满三个月前向对方提出续订合同书面申请。</w:t>
      </w:r>
    </w:p>
    <w:p w14:paraId="7812B328">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3.凡因本合同引起的或与本合同有关的任何争议，均提交</w:t>
      </w:r>
      <w:r>
        <w:rPr>
          <w:rFonts w:hint="eastAsia" w:ascii="微软雅黑" w:hAnsi="微软雅黑" w:eastAsia="微软雅黑" w:cs="微软雅黑"/>
          <w:color w:val="000000" w:themeColor="text1"/>
          <w:sz w:val="24"/>
          <w:szCs w:val="24"/>
          <w:lang w:eastAsia="zh-CN"/>
          <w14:textFill>
            <w14:solidFill>
              <w14:schemeClr w14:val="tx1"/>
            </w14:solidFill>
          </w14:textFill>
        </w:rPr>
        <w:t>蚌埠</w:t>
      </w:r>
      <w:r>
        <w:rPr>
          <w:rFonts w:hint="eastAsia" w:ascii="微软雅黑" w:hAnsi="微软雅黑" w:eastAsia="微软雅黑" w:cs="微软雅黑"/>
          <w:color w:val="000000" w:themeColor="text1"/>
          <w:sz w:val="24"/>
          <w:szCs w:val="24"/>
          <w14:textFill>
            <w14:solidFill>
              <w14:schemeClr w14:val="tx1"/>
            </w14:solidFill>
          </w14:textFill>
        </w:rPr>
        <w:t>仲裁委员会，按照其届时有效的仲裁规则仲裁解决。仲裁裁决是终局的，对双方均有约束力。</w:t>
      </w:r>
    </w:p>
    <w:p w14:paraId="1C522661">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4</w:t>
      </w:r>
      <w:r>
        <w:rPr>
          <w:rFonts w:hint="eastAsia" w:ascii="微软雅黑" w:hAnsi="微软雅黑" w:eastAsia="微软雅黑" w:cs="微软雅黑"/>
          <w:color w:val="000000" w:themeColor="text1"/>
          <w:sz w:val="24"/>
          <w:szCs w:val="24"/>
          <w14:textFill>
            <w14:solidFill>
              <w14:schemeClr w14:val="tx1"/>
            </w14:solidFill>
          </w14:textFill>
        </w:rPr>
        <w:t>.本合同</w:t>
      </w:r>
      <w:r>
        <w:rPr>
          <w:rFonts w:hint="eastAsia" w:ascii="微软雅黑" w:hAnsi="微软雅黑" w:eastAsia="微软雅黑" w:cs="微软雅黑"/>
          <w:color w:val="000000" w:themeColor="text1"/>
          <w:sz w:val="24"/>
          <w:szCs w:val="24"/>
          <w:lang w:eastAsia="zh-CN"/>
          <w14:textFill>
            <w14:solidFill>
              <w14:schemeClr w14:val="tx1"/>
            </w14:solidFill>
          </w14:textFill>
        </w:rPr>
        <w:t>一式四份</w:t>
      </w:r>
      <w:r>
        <w:rPr>
          <w:rFonts w:hint="eastAsia" w:ascii="微软雅黑" w:hAnsi="微软雅黑" w:eastAsia="微软雅黑" w:cs="微软雅黑"/>
          <w:color w:val="000000" w:themeColor="text1"/>
          <w:sz w:val="24"/>
          <w:szCs w:val="24"/>
          <w14:textFill>
            <w14:solidFill>
              <w14:schemeClr w14:val="tx1"/>
            </w14:solidFill>
          </w14:textFill>
        </w:rPr>
        <w:t>，甲、乙双方各执</w:t>
      </w:r>
      <w:r>
        <w:rPr>
          <w:rFonts w:hint="eastAsia" w:ascii="微软雅黑" w:hAnsi="微软雅黑" w:eastAsia="微软雅黑" w:cs="微软雅黑"/>
          <w:color w:val="000000" w:themeColor="text1"/>
          <w:sz w:val="24"/>
          <w:szCs w:val="24"/>
          <w:lang w:eastAsia="zh-CN"/>
          <w14:textFill>
            <w14:solidFill>
              <w14:schemeClr w14:val="tx1"/>
            </w14:solidFill>
          </w14:textFill>
        </w:rPr>
        <w:t>贰</w:t>
      </w:r>
      <w:r>
        <w:rPr>
          <w:rFonts w:hint="eastAsia" w:ascii="微软雅黑" w:hAnsi="微软雅黑" w:eastAsia="微软雅黑" w:cs="微软雅黑"/>
          <w:color w:val="000000" w:themeColor="text1"/>
          <w:sz w:val="24"/>
          <w:szCs w:val="24"/>
          <w14:textFill>
            <w14:solidFill>
              <w14:schemeClr w14:val="tx1"/>
            </w14:solidFill>
          </w14:textFill>
        </w:rPr>
        <w:t>份，具有同等法律效力。</w:t>
      </w:r>
    </w:p>
    <w:p w14:paraId="56FEC7C4">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5</w:t>
      </w:r>
      <w:r>
        <w:rPr>
          <w:rFonts w:hint="eastAsia" w:ascii="微软雅黑" w:hAnsi="微软雅黑" w:eastAsia="微软雅黑" w:cs="微软雅黑"/>
          <w:color w:val="000000" w:themeColor="text1"/>
          <w:sz w:val="24"/>
          <w:szCs w:val="24"/>
          <w14:textFill>
            <w14:solidFill>
              <w14:schemeClr w14:val="tx1"/>
            </w14:solidFill>
          </w14:textFill>
        </w:rPr>
        <w:t>.本合同自甲乙双方法定代表人或</w:t>
      </w:r>
      <w:r>
        <w:rPr>
          <w:rFonts w:hint="eastAsia" w:ascii="微软雅黑" w:hAnsi="微软雅黑" w:eastAsia="微软雅黑" w:cs="微软雅黑"/>
          <w:color w:val="000000" w:themeColor="text1"/>
          <w:sz w:val="24"/>
          <w:szCs w:val="24"/>
          <w:lang w:eastAsia="zh-CN"/>
          <w14:textFill>
            <w14:solidFill>
              <w14:schemeClr w14:val="tx1"/>
            </w14:solidFill>
          </w14:textFill>
        </w:rPr>
        <w:t>委托代理人</w:t>
      </w:r>
      <w:r>
        <w:rPr>
          <w:rFonts w:hint="eastAsia" w:ascii="微软雅黑" w:hAnsi="微软雅黑" w:eastAsia="微软雅黑" w:cs="微软雅黑"/>
          <w:color w:val="000000" w:themeColor="text1"/>
          <w:sz w:val="24"/>
          <w:szCs w:val="24"/>
          <w14:textFill>
            <w14:solidFill>
              <w14:schemeClr w14:val="tx1"/>
            </w14:solidFill>
          </w14:textFill>
        </w:rPr>
        <w:t>签字并盖章之日起生效。</w:t>
      </w:r>
    </w:p>
    <w:p w14:paraId="591BB3FE">
      <w:pPr>
        <w:keepNext w:val="0"/>
        <w:keepLines w:val="0"/>
        <w:pageBreakBefore w:val="0"/>
        <w:widowControl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6.</w:t>
      </w: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送达地址以及送达条款</w:t>
      </w:r>
    </w:p>
    <w:p w14:paraId="188A0A93">
      <w:pPr>
        <w:keepNext w:val="0"/>
        <w:keepLines w:val="0"/>
        <w:pageBreakBefore w:val="0"/>
        <w:widowControl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（1）送达地址以及方式</w:t>
      </w:r>
    </w:p>
    <w:p w14:paraId="5E6F204C">
      <w:pPr>
        <w:keepNext w:val="0"/>
        <w:keepLines w:val="0"/>
        <w:pageBreakBefore w:val="0"/>
        <w:widowControl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w:t>
      </w:r>
    </w:p>
    <w:p w14:paraId="54E07ED6">
      <w:pPr>
        <w:keepNext w:val="0"/>
        <w:keepLines w:val="0"/>
        <w:pageBreakBefore w:val="0"/>
        <w:widowControl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甲方确认送达地址如下：</w:t>
      </w:r>
    </w:p>
    <w:p w14:paraId="0FFD278B">
      <w:pPr>
        <w:keepNext w:val="0"/>
        <w:keepLines w:val="0"/>
        <w:pageBreakBefore w:val="0"/>
        <w:widowControl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7433A6D0">
      <w:pPr>
        <w:keepNext w:val="0"/>
        <w:keepLines w:val="0"/>
        <w:pageBreakBefore w:val="0"/>
        <w:widowControl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4B5A4BB2">
      <w:pPr>
        <w:keepNext w:val="0"/>
        <w:keepLines w:val="0"/>
        <w:pageBreakBefore w:val="0"/>
        <w:widowControl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08D0F60C">
      <w:pPr>
        <w:keepNext w:val="0"/>
        <w:keepLines w:val="0"/>
        <w:pageBreakBefore w:val="0"/>
        <w:widowControl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2471EBC8">
      <w:pPr>
        <w:keepNext w:val="0"/>
        <w:keepLines w:val="0"/>
        <w:pageBreakBefore w:val="0"/>
        <w:widowControl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甲方电子送达方式如下：</w:t>
      </w:r>
    </w:p>
    <w:p w14:paraId="0E98C0D7">
      <w:pPr>
        <w:keepNext w:val="0"/>
        <w:keepLines w:val="0"/>
        <w:pageBreakBefore w:val="0"/>
        <w:widowControl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7598033E">
      <w:pPr>
        <w:keepNext w:val="0"/>
        <w:keepLines w:val="0"/>
        <w:pageBreakBefore w:val="0"/>
        <w:widowControl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3F7DF5AF">
      <w:pPr>
        <w:keepNext w:val="0"/>
        <w:keepLines w:val="0"/>
        <w:pageBreakBefore w:val="0"/>
        <w:widowControl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2E96BB45">
      <w:pPr>
        <w:keepNext w:val="0"/>
        <w:keepLines w:val="0"/>
        <w:pageBreakBefore w:val="0"/>
        <w:widowControl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            。</w:t>
      </w:r>
    </w:p>
    <w:p w14:paraId="7C05BBAA">
      <w:pPr>
        <w:keepNext w:val="0"/>
        <w:keepLines w:val="0"/>
        <w:pageBreakBefore w:val="0"/>
        <w:widowControl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p>
    <w:p w14:paraId="7A22B030">
      <w:pPr>
        <w:keepNext w:val="0"/>
        <w:keepLines w:val="0"/>
        <w:pageBreakBefore w:val="0"/>
        <w:widowControl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乙方确认送达地址如下：</w:t>
      </w:r>
    </w:p>
    <w:p w14:paraId="388C259E">
      <w:pPr>
        <w:keepNext w:val="0"/>
        <w:keepLines w:val="0"/>
        <w:pageBreakBefore w:val="0"/>
        <w:widowControl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0F8FAFFD">
      <w:pPr>
        <w:keepNext w:val="0"/>
        <w:keepLines w:val="0"/>
        <w:pageBreakBefore w:val="0"/>
        <w:widowControl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6D113CB8">
      <w:pPr>
        <w:keepNext w:val="0"/>
        <w:keepLines w:val="0"/>
        <w:pageBreakBefore w:val="0"/>
        <w:widowControl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485DF91C">
      <w:pPr>
        <w:keepNext w:val="0"/>
        <w:keepLines w:val="0"/>
        <w:pageBreakBefore w:val="0"/>
        <w:widowControl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3BEFF923">
      <w:pPr>
        <w:keepNext w:val="0"/>
        <w:keepLines w:val="0"/>
        <w:pageBreakBefore w:val="0"/>
        <w:widowControl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乙方电子送达方式如下：</w:t>
      </w:r>
    </w:p>
    <w:p w14:paraId="00E660B0">
      <w:pPr>
        <w:keepNext w:val="0"/>
        <w:keepLines w:val="0"/>
        <w:pageBreakBefore w:val="0"/>
        <w:widowControl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14DA8483">
      <w:pPr>
        <w:keepNext w:val="0"/>
        <w:keepLines w:val="0"/>
        <w:pageBreakBefore w:val="0"/>
        <w:widowControl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7C7B1B41">
      <w:pPr>
        <w:keepNext w:val="0"/>
        <w:keepLines w:val="0"/>
        <w:pageBreakBefore w:val="0"/>
        <w:widowControl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0BC8C94C">
      <w:pPr>
        <w:keepNext w:val="0"/>
        <w:keepLines w:val="0"/>
        <w:pageBreakBefore w:val="0"/>
        <w:widowControl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w:t>
      </w:r>
    </w:p>
    <w:p w14:paraId="1E50467F">
      <w:pPr>
        <w:keepNext w:val="0"/>
        <w:keepLines w:val="0"/>
        <w:pageBreakBefore w:val="0"/>
        <w:widowControl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送达方式</w:t>
      </w:r>
    </w:p>
    <w:p w14:paraId="6C67C12B">
      <w:pPr>
        <w:keepNext w:val="0"/>
        <w:keepLines w:val="0"/>
        <w:pageBreakBefore w:val="0"/>
        <w:widowControl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 双方同意，本合同项下的通知、函件、诉讼文书等文件，以下列方式送达对方：</w:t>
      </w:r>
    </w:p>
    <w:p w14:paraId="2950EEDC">
      <w:pPr>
        <w:keepNext w:val="0"/>
        <w:keepLines w:val="0"/>
        <w:pageBreakBefore w:val="0"/>
        <w:widowControl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直接送达：将文件送至对方指定的送达地址，视为已送达；</w:t>
      </w:r>
    </w:p>
    <w:p w14:paraId="10FEDA19">
      <w:pPr>
        <w:keepNext w:val="0"/>
        <w:keepLines w:val="0"/>
        <w:pageBreakBefore w:val="0"/>
        <w:widowControl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邮寄送达：将文件通过挂号信、特快专递等方式寄至对方指定的送达地址，以邮戳日期为准，视为已送达；</w:t>
      </w:r>
    </w:p>
    <w:p w14:paraId="629EFFC1">
      <w:pPr>
        <w:keepNext w:val="0"/>
        <w:keepLines w:val="0"/>
        <w:pageBreakBefore w:val="0"/>
        <w:widowControl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电子送达：将文件通过电子邮件、短信、微信等方式发送至对方指定的电子邮箱、手机号码等，发送成功即视为已送达。</w:t>
      </w:r>
    </w:p>
    <w:p w14:paraId="4F03F81E">
      <w:pPr>
        <w:keepNext w:val="0"/>
        <w:keepLines w:val="0"/>
        <w:pageBreakBefore w:val="0"/>
        <w:widowControl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（2）送达条款</w:t>
      </w:r>
    </w:p>
    <w:p w14:paraId="1174A6B1">
      <w:pPr>
        <w:keepNext w:val="0"/>
        <w:keepLines w:val="0"/>
        <w:pageBreakBefore w:val="0"/>
        <w:widowControl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本送达条款适用于合同履行期间及合同纠纷解决过程中的所有文件送达。</w:t>
      </w:r>
    </w:p>
    <w:p w14:paraId="744360AC">
      <w:pPr>
        <w:keepNext w:val="0"/>
        <w:keepLines w:val="0"/>
        <w:pageBreakBefore w:val="0"/>
        <w:widowControl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52BD225C">
      <w:pPr>
        <w:keepNext w:val="0"/>
        <w:keepLines w:val="0"/>
        <w:pageBreakBefore w:val="0"/>
        <w:widowControl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双方在合同履行过程中由双方共同明示或默示确认的合同约定外的送达地址和联系方式不影响送达效力。</w:t>
      </w:r>
    </w:p>
    <w:p w14:paraId="6C087EB3">
      <w:pPr>
        <w:keepNext w:val="0"/>
        <w:keepLines w:val="0"/>
        <w:pageBreakBefore w:val="0"/>
        <w:widowControl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3F46F12E">
      <w:pPr>
        <w:keepNext w:val="0"/>
        <w:keepLines w:val="0"/>
        <w:pageBreakBefore w:val="0"/>
        <w:widowControl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双方应当保证本合同约定送达地址以及联系方式为有效地址及联系方式。一方变更送达信息的，应在变更后一日内通知对方，未及时通知的，发送方按照原约定方式送达，视为送达成功。</w:t>
      </w:r>
    </w:p>
    <w:p w14:paraId="321E7A49">
      <w:pPr>
        <w:keepNext w:val="0"/>
        <w:keepLines w:val="0"/>
        <w:pageBreakBefore w:val="0"/>
        <w:widowControl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双方发生争议，关于裁判机构的送达文书，接收方存在以下行为之一的，蚌埠仲裁委员会有权依据法律和适时有效的仲裁规则规定进行送达，法律与仲裁规则规定程序完成之日，视为送达成功：</w:t>
      </w:r>
    </w:p>
    <w:p w14:paraId="07D4CF4E">
      <w:pPr>
        <w:keepNext w:val="0"/>
        <w:keepLines w:val="0"/>
        <w:pageBreakBefore w:val="0"/>
        <w:widowControl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擅自变更送达地址及信息且未及时通知对方的；</w:t>
      </w:r>
    </w:p>
    <w:p w14:paraId="7A38AF42">
      <w:pPr>
        <w:keepNext w:val="0"/>
        <w:keepLines w:val="0"/>
        <w:pageBreakBefore w:val="0"/>
        <w:widowControl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送达地址与信息同工商登记信息不一致且未及时更改的；</w:t>
      </w:r>
    </w:p>
    <w:p w14:paraId="2DF4C354">
      <w:pPr>
        <w:keepNext w:val="0"/>
        <w:keepLines w:val="0"/>
        <w:pageBreakBefore w:val="0"/>
        <w:widowControl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故意不接收蚌埠仲裁委员会送达文书的；</w:t>
      </w:r>
    </w:p>
    <w:p w14:paraId="1EA7E0B9">
      <w:pPr>
        <w:keepNext w:val="0"/>
        <w:keepLines w:val="0"/>
        <w:pageBreakBefore w:val="0"/>
        <w:widowControl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Cs/>
          <w:color w:val="000000" w:themeColor="text1"/>
          <w:kern w:val="0"/>
          <w:sz w:val="24"/>
          <w:szCs w:val="24"/>
          <w:u w:val="single"/>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因接收方过错造成无法正常送达的其他行为。</w:t>
      </w:r>
    </w:p>
    <w:p w14:paraId="54752566">
      <w:pPr>
        <w:keepNext w:val="0"/>
        <w:keepLines w:val="0"/>
        <w:pageBreakBefore w:val="0"/>
        <w:widowControl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Cs/>
          <w:color w:val="000000" w:themeColor="text1"/>
          <w:sz w:val="24"/>
          <w:szCs w:val="24"/>
          <w:u w:val="single"/>
          <w14:textFill>
            <w14:solidFill>
              <w14:schemeClr w14:val="tx1"/>
            </w14:solidFill>
          </w14:textFill>
        </w:rPr>
      </w:pPr>
    </w:p>
    <w:p w14:paraId="4DB9B34A">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p>
    <w:p w14:paraId="5BE1A90F">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p>
    <w:p w14:paraId="09A36736">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（以下无正文）</w:t>
      </w:r>
    </w:p>
    <w:p w14:paraId="0549A2E3">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p>
    <w:p w14:paraId="32D42D67">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bCs/>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 xml:space="preserve">甲方： </w:t>
      </w:r>
    </w:p>
    <w:p w14:paraId="7A093EA5">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bCs/>
          <w:color w:val="000000" w:themeColor="text1"/>
          <w:sz w:val="24"/>
          <w:szCs w:val="24"/>
          <w:lang w:val="en-US" w:eastAsia="zh-CN"/>
          <w14:textFill>
            <w14:solidFill>
              <w14:schemeClr w14:val="tx1"/>
            </w14:solidFill>
          </w14:textFill>
        </w:rPr>
      </w:pPr>
    </w:p>
    <w:p w14:paraId="24440000">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bCs/>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法定代表人：</w:t>
      </w:r>
    </w:p>
    <w:p w14:paraId="67E5534D">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bCs/>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委托代理人：</w:t>
      </w:r>
    </w:p>
    <w:p w14:paraId="3213CD8D">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bCs/>
          <w:color w:val="000000" w:themeColor="text1"/>
          <w:sz w:val="24"/>
          <w:szCs w:val="24"/>
          <w:lang w:val="en-US" w:eastAsia="zh-CN"/>
          <w14:textFill>
            <w14:solidFill>
              <w14:schemeClr w14:val="tx1"/>
            </w14:solidFill>
          </w14:textFill>
        </w:rPr>
      </w:pPr>
    </w:p>
    <w:p w14:paraId="2AAE9F54">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bCs/>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乙方：</w:t>
      </w:r>
    </w:p>
    <w:p w14:paraId="2BDBA987">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bCs/>
          <w:color w:val="000000" w:themeColor="text1"/>
          <w:sz w:val="24"/>
          <w:szCs w:val="24"/>
          <w:lang w:val="en-US" w:eastAsia="zh-CN"/>
          <w14:textFill>
            <w14:solidFill>
              <w14:schemeClr w14:val="tx1"/>
            </w14:solidFill>
          </w14:textFill>
        </w:rPr>
      </w:pPr>
    </w:p>
    <w:p w14:paraId="23EEDCF4">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bCs/>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法定代表人：</w:t>
      </w:r>
    </w:p>
    <w:p w14:paraId="3EF67940">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bCs/>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委托代理人：</w:t>
      </w:r>
    </w:p>
    <w:p w14:paraId="19CD5634">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bCs/>
          <w:color w:val="000000" w:themeColor="text1"/>
          <w:sz w:val="24"/>
          <w:szCs w:val="24"/>
          <w:lang w:val="en-US" w:eastAsia="zh-CN"/>
          <w14:textFill>
            <w14:solidFill>
              <w14:schemeClr w14:val="tx1"/>
            </w14:solidFill>
          </w14:textFill>
        </w:rPr>
      </w:pPr>
    </w:p>
    <w:p w14:paraId="2260F41A">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bCs/>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合同签订日期：</w:t>
      </w:r>
    </w:p>
    <w:p w14:paraId="01BD4CA1">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bCs/>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 xml:space="preserve">合同签订地点：         </w:t>
      </w:r>
    </w:p>
    <w:p w14:paraId="28E8CF97">
      <w:pPr>
        <w:keepNext w:val="0"/>
        <w:keepLines w:val="0"/>
        <w:pageBreakBefore w:val="0"/>
        <w:widowControl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bCs/>
          <w:color w:val="000000" w:themeColor="text1"/>
          <w:sz w:val="24"/>
          <w:szCs w:val="24"/>
          <w14:textFill>
            <w14:solidFill>
              <w14:schemeClr w14:val="tx1"/>
            </w14:solidFill>
          </w14:textFill>
        </w:rPr>
      </w:pPr>
    </w:p>
    <w:p w14:paraId="6920EBB9">
      <w:pPr>
        <w:rPr>
          <w:rFonts w:hint="eastAsia" w:ascii="微软雅黑" w:hAnsi="微软雅黑" w:eastAsia="微软雅黑" w:cs="微软雅黑"/>
          <w:color w:val="000000" w:themeColor="text1"/>
          <w:sz w:val="24"/>
          <w:szCs w:val="24"/>
          <w14:textFill>
            <w14:solidFill>
              <w14:schemeClr w14:val="tx1"/>
            </w14:solidFill>
          </w14:textFill>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B8282">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BFAF9E">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7BFAF9E">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B37B1E"/>
    <w:rsid w:val="1C421C5F"/>
    <w:rsid w:val="230516A4"/>
    <w:rsid w:val="2A8279A9"/>
    <w:rsid w:val="2DB37B1E"/>
    <w:rsid w:val="5BFA65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3326</Words>
  <Characters>3354</Characters>
  <Lines>0</Lines>
  <Paragraphs>0</Paragraphs>
  <TotalTime>1</TotalTime>
  <ScaleCrop>false</ScaleCrop>
  <LinksUpToDate>false</LinksUpToDate>
  <CharactersWithSpaces>3635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2021-06-02T07:30:00Z</dcterms:created>
  <dc:creator>真宇律师</dc:creator>
  <cp:lastModifiedBy>豪</cp:lastModifiedBy>
  <dcterms:modified xsi:type="dcterms:W3CDTF">2026-03-22T07:10:46Z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8F0BE83AC7A14BB581DF00B5DDFEAED7</vt:lpwstr>
  </property>
  <property fmtid="{D5CDD505-2E9C-101B-9397-08002B2CF9AE}" pid="4" name="KSOTemplateDocerSaveRecord">
    <vt:lpwstr>eyJoZGlkIjoiNTg0MzMyNGJiMDEzODc5ODNlMGVjODViOWRkZjg1MDgiLCJ1c2VySWQiOiIxMjc2Mzc3NjgxIn0=</vt:lpwstr>
  </property>
</Properties>
</file>