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FDA344">
      <w:pPr>
        <w:pStyle w:val="3"/>
        <w:widowControl w:val="0"/>
        <w:numPr>
          <w:ilvl w:val="0"/>
          <w:numId w:val="1"/>
        </w:numPr>
        <w:spacing w:afterLines="0" w:line="360" w:lineRule="auto"/>
        <w:jc w:val="center"/>
        <w:outlineLvl w:val="0"/>
        <w:rPr>
          <w:rFonts w:hint="eastAsia" w:ascii="楷体" w:hAnsi="楷体" w:eastAsia="楷体" w:cs="楷体"/>
          <w:color w:val="000000" w:themeColor="text1"/>
          <w:sz w:val="36"/>
          <w:szCs w:val="36"/>
          <w14:textFill>
            <w14:solidFill>
              <w14:schemeClr w14:val="tx1"/>
            </w14:solidFill>
          </w14:textFill>
        </w:rPr>
      </w:pPr>
      <w:bookmarkStart w:id="41" w:name="_GoBack"/>
      <w:bookmarkStart w:id="0" w:name="_Toc14024"/>
    </w:p>
    <w:p w14:paraId="467032FF">
      <w:pPr>
        <w:keepNext/>
        <w:keepLines/>
        <w:numPr>
          <w:ilvl w:val="2"/>
          <w:numId w:val="1"/>
        </w:numPr>
        <w:tabs>
          <w:tab w:val="left" w:pos="432"/>
        </w:tabs>
        <w:spacing w:after="0" w:afterLines="0" w:afterAutospacing="0" w:line="360" w:lineRule="auto"/>
        <w:ind w:left="0" w:firstLine="0"/>
        <w:jc w:val="center"/>
        <w:outlineLvl w:val="0"/>
        <w:rPr>
          <w:rFonts w:hint="eastAsia" w:ascii="微软雅黑" w:hAnsi="微软雅黑" w:eastAsia="微软雅黑" w:cs="微软雅黑"/>
          <w:b/>
          <w:color w:val="000000" w:themeColor="text1"/>
          <w:sz w:val="36"/>
          <w:szCs w:val="36"/>
          <w14:textFill>
            <w14:solidFill>
              <w14:schemeClr w14:val="tx1"/>
            </w14:solidFill>
          </w14:textFill>
        </w:rPr>
      </w:pPr>
      <w:r>
        <w:rPr>
          <w:rFonts w:hint="eastAsia" w:ascii="微软雅黑" w:hAnsi="微软雅黑" w:eastAsia="微软雅黑" w:cs="微软雅黑"/>
          <w:b/>
          <w:color w:val="000000" w:themeColor="text1"/>
          <w:spacing w:val="57"/>
          <w:sz w:val="36"/>
          <w:szCs w:val="36"/>
          <w14:textFill>
            <w14:solidFill>
              <w14:schemeClr w14:val="tx1"/>
            </w14:solidFill>
          </w14:textFill>
        </w:rPr>
        <w:t>建设工程造价咨询合同</w:t>
      </w:r>
      <w:bookmarkEnd w:id="0"/>
    </w:p>
    <w:p w14:paraId="4C54F66D">
      <w:pPr>
        <w:pStyle w:val="2"/>
        <w:spacing w:after="0" w:afterLines="0" w:afterAutospacing="0" w:line="360" w:lineRule="auto"/>
        <w:ind w:firstLine="0"/>
        <w:jc w:val="center"/>
        <w:rPr>
          <w:rFonts w:hint="eastAsia" w:ascii="微软雅黑" w:hAnsi="微软雅黑" w:eastAsia="微软雅黑" w:cs="微软雅黑"/>
          <w:b/>
          <w:color w:val="000000" w:themeColor="text1"/>
          <w:sz w:val="36"/>
          <w:szCs w:val="36"/>
          <w14:textFill>
            <w14:solidFill>
              <w14:schemeClr w14:val="tx1"/>
            </w14:solidFill>
          </w14:textFill>
        </w:rPr>
      </w:pPr>
      <w:bookmarkStart w:id="1" w:name="_Toc3120"/>
      <w:r>
        <w:rPr>
          <w:rFonts w:hint="eastAsia" w:ascii="微软雅黑" w:hAnsi="微软雅黑" w:eastAsia="微软雅黑" w:cs="微软雅黑"/>
          <w:b/>
          <w:color w:val="000000" w:themeColor="text1"/>
          <w:sz w:val="36"/>
          <w:szCs w:val="36"/>
          <w14:textFill>
            <w14:solidFill>
              <w14:schemeClr w14:val="tx1"/>
            </w14:solidFill>
          </w14:textFill>
        </w:rPr>
        <w:t>第一部分  协议书</w:t>
      </w:r>
      <w:bookmarkEnd w:id="1"/>
    </w:p>
    <w:bookmarkEnd w:id="41"/>
    <w:p w14:paraId="5D4F9068">
      <w:pPr>
        <w:pStyle w:val="2"/>
        <w:spacing w:after="0" w:afterLines="0" w:afterAutospacing="0" w:line="360" w:lineRule="auto"/>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p>
    <w:p w14:paraId="419DFAF0">
      <w:pPr>
        <w:spacing w:afterLines="0" w:line="360" w:lineRule="auto"/>
        <w:ind w:firstLine="480" w:firstLineChars="200"/>
        <w:jc w:val="both"/>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甲方（委托人）：</w:t>
      </w:r>
    </w:p>
    <w:p w14:paraId="4F9F3F3A">
      <w:pPr>
        <w:spacing w:afterLines="0" w:line="360" w:lineRule="auto"/>
        <w:ind w:firstLine="480" w:firstLineChars="200"/>
        <w:jc w:val="both"/>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统一社会信用代码：</w:t>
      </w:r>
    </w:p>
    <w:p w14:paraId="13AA3DA6">
      <w:pPr>
        <w:spacing w:afterLines="0" w:line="360" w:lineRule="auto"/>
        <w:ind w:firstLine="480" w:firstLineChars="200"/>
        <w:jc w:val="both"/>
        <w:rPr>
          <w:rFonts w:hint="eastAsia" w:ascii="微软雅黑" w:hAnsi="微软雅黑" w:eastAsia="微软雅黑" w:cs="微软雅黑"/>
          <w:b/>
          <w:bCs/>
          <w:color w:val="000000" w:themeColor="text1"/>
          <w:sz w:val="24"/>
          <w:szCs w:val="24"/>
          <w14:textFill>
            <w14:solidFill>
              <w14:schemeClr w14:val="tx1"/>
            </w14:solidFill>
          </w14:textFill>
        </w:rPr>
      </w:pPr>
    </w:p>
    <w:p w14:paraId="7585855B">
      <w:pPr>
        <w:spacing w:afterLines="0" w:line="360" w:lineRule="auto"/>
        <w:ind w:firstLine="480" w:firstLineChars="200"/>
        <w:jc w:val="both"/>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乙方（咨询人）：</w:t>
      </w:r>
    </w:p>
    <w:p w14:paraId="2E68FEA0">
      <w:pPr>
        <w:spacing w:afterLines="0" w:line="360" w:lineRule="auto"/>
        <w:ind w:firstLine="480" w:firstLineChars="200"/>
        <w:jc w:val="both"/>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统一社会信用代码：</w:t>
      </w:r>
    </w:p>
    <w:p w14:paraId="7DA90277">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p>
    <w:p w14:paraId="23628D61">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经过甲方与乙方双方协商一致，签订本合同。</w:t>
      </w:r>
    </w:p>
    <w:p w14:paraId="7508729A">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一、</w:t>
      </w:r>
      <w:r>
        <w:rPr>
          <w:rFonts w:hint="eastAsia" w:ascii="微软雅黑" w:hAnsi="微软雅黑" w:eastAsia="微软雅黑" w:cs="微软雅黑"/>
          <w:color w:val="000000" w:themeColor="text1"/>
          <w:sz w:val="24"/>
          <w:szCs w:val="24"/>
          <w14:textFill>
            <w14:solidFill>
              <w14:schemeClr w14:val="tx1"/>
            </w14:solidFill>
          </w14:textFill>
        </w:rPr>
        <w:t>甲方委托乙方为以下项目提供建设工程造价咨询服务：</w:t>
      </w:r>
    </w:p>
    <w:p w14:paraId="7483D171">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1．项目名称：</w:t>
      </w:r>
      <w:r>
        <w:rPr>
          <w:rFonts w:hint="eastAsia" w:ascii="微软雅黑" w:hAnsi="微软雅黑" w:eastAsia="微软雅黑" w:cs="微软雅黑"/>
          <w:bCs/>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bCs/>
          <w:color w:val="000000" w:themeColor="text1"/>
          <w:sz w:val="24"/>
          <w:szCs w:val="24"/>
          <w14:textFill>
            <w14:solidFill>
              <w14:schemeClr w14:val="tx1"/>
            </w14:solidFill>
          </w14:textFill>
        </w:rPr>
        <w:t>项目全过程造价咨询服务.</w:t>
      </w:r>
    </w:p>
    <w:p w14:paraId="21369C88">
      <w:pPr>
        <w:spacing w:afterLines="0" w:line="360" w:lineRule="auto"/>
        <w:ind w:firstLine="480" w:firstLineChars="200"/>
        <w:jc w:val="both"/>
        <w:rPr>
          <w:rFonts w:hint="eastAsia" w:ascii="微软雅黑" w:hAnsi="微软雅黑" w:eastAsia="微软雅黑" w:cs="微软雅黑"/>
          <w:color w:val="000000" w:themeColor="text1"/>
          <w:sz w:val="24"/>
          <w:szCs w:val="24"/>
          <w:u w:val="single"/>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2．服务类别：全过程造价咨询及跟踪管理咨询服务（施工招标阶段开始至竣工财务结算为止）。</w:t>
      </w:r>
    </w:p>
    <w:p w14:paraId="37FC079E">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p>
    <w:p w14:paraId="7C20AA33">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二、</w:t>
      </w:r>
      <w:r>
        <w:rPr>
          <w:rFonts w:hint="eastAsia" w:ascii="微软雅黑" w:hAnsi="微软雅黑" w:eastAsia="微软雅黑" w:cs="微软雅黑"/>
          <w:color w:val="000000" w:themeColor="text1"/>
          <w:sz w:val="24"/>
          <w:szCs w:val="24"/>
          <w14:textFill>
            <w14:solidFill>
              <w14:schemeClr w14:val="tx1"/>
            </w14:solidFill>
          </w14:textFill>
        </w:rPr>
        <w:t>本合同的措词和用语与所属建设工程造价咨询合同标准条件及有关附件同义。</w:t>
      </w:r>
    </w:p>
    <w:p w14:paraId="5BEA7446">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p>
    <w:p w14:paraId="2C18C06E">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三、</w:t>
      </w:r>
      <w:r>
        <w:rPr>
          <w:rFonts w:hint="eastAsia" w:ascii="微软雅黑" w:hAnsi="微软雅黑" w:eastAsia="微软雅黑" w:cs="微软雅黑"/>
          <w:color w:val="000000" w:themeColor="text1"/>
          <w:sz w:val="24"/>
          <w:szCs w:val="24"/>
          <w14:textFill>
            <w14:solidFill>
              <w14:schemeClr w14:val="tx1"/>
            </w14:solidFill>
          </w14:textFill>
        </w:rPr>
        <w:t>下列文件均为本合同的组成部分：</w:t>
      </w:r>
    </w:p>
    <w:p w14:paraId="3E1D0AD1">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bookmarkStart w:id="2" w:name="_Toc12025"/>
      <w:r>
        <w:rPr>
          <w:rFonts w:hint="eastAsia" w:ascii="微软雅黑" w:hAnsi="微软雅黑" w:eastAsia="微软雅黑" w:cs="微软雅黑"/>
          <w:color w:val="000000" w:themeColor="text1"/>
          <w:sz w:val="24"/>
          <w:szCs w:val="24"/>
          <w14:textFill>
            <w14:solidFill>
              <w14:schemeClr w14:val="tx1"/>
            </w14:solidFill>
          </w14:textFill>
        </w:rPr>
        <w:t>1．建设工程造价咨询合同标准条件；</w:t>
      </w:r>
      <w:bookmarkEnd w:id="2"/>
    </w:p>
    <w:p w14:paraId="38C481DA">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bookmarkStart w:id="3" w:name="_Toc5468"/>
      <w:r>
        <w:rPr>
          <w:rFonts w:hint="eastAsia" w:ascii="微软雅黑" w:hAnsi="微软雅黑" w:eastAsia="微软雅黑" w:cs="微软雅黑"/>
          <w:color w:val="000000" w:themeColor="text1"/>
          <w:sz w:val="24"/>
          <w:szCs w:val="24"/>
          <w14:textFill>
            <w14:solidFill>
              <w14:schemeClr w14:val="tx1"/>
            </w14:solidFill>
          </w14:textFill>
        </w:rPr>
        <w:t>2．建设工程造价咨询合同专用条件；</w:t>
      </w:r>
      <w:bookmarkEnd w:id="3"/>
    </w:p>
    <w:p w14:paraId="631AA378">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bookmarkStart w:id="4" w:name="_Toc26798"/>
      <w:r>
        <w:rPr>
          <w:rFonts w:hint="eastAsia" w:ascii="微软雅黑" w:hAnsi="微软雅黑" w:eastAsia="微软雅黑" w:cs="微软雅黑"/>
          <w:color w:val="000000" w:themeColor="text1"/>
          <w:sz w:val="24"/>
          <w:szCs w:val="24"/>
          <w14:textFill>
            <w14:solidFill>
              <w14:schemeClr w14:val="tx1"/>
            </w14:solidFill>
          </w14:textFill>
        </w:rPr>
        <w:t>3．建设工程造价咨询合同执行中共同签署的补充与修正文件。</w:t>
      </w:r>
      <w:bookmarkEnd w:id="4"/>
    </w:p>
    <w:p w14:paraId="10076031">
      <w:pPr>
        <w:tabs>
          <w:tab w:val="left" w:pos="1560"/>
          <w:tab w:val="left" w:pos="1800"/>
        </w:tabs>
        <w:adjustRightInd/>
        <w:snapToGrid/>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p>
    <w:p w14:paraId="59C77AD7">
      <w:pPr>
        <w:tabs>
          <w:tab w:val="left" w:pos="1560"/>
          <w:tab w:val="left" w:pos="1800"/>
        </w:tabs>
        <w:adjustRightInd/>
        <w:snapToGrid/>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四、</w:t>
      </w:r>
      <w:r>
        <w:rPr>
          <w:rFonts w:hint="eastAsia" w:ascii="微软雅黑" w:hAnsi="微软雅黑" w:eastAsia="微软雅黑" w:cs="微软雅黑"/>
          <w:color w:val="000000" w:themeColor="text1"/>
          <w:sz w:val="24"/>
          <w:szCs w:val="24"/>
          <w14:textFill>
            <w14:solidFill>
              <w14:schemeClr w14:val="tx1"/>
            </w14:solidFill>
          </w14:textFill>
        </w:rPr>
        <w:t>建设工程造价咨询业务范围：</w:t>
      </w:r>
    </w:p>
    <w:p w14:paraId="2CB076B5">
      <w:pPr>
        <w:adjustRightInd/>
        <w:snapToGrid/>
        <w:spacing w:afterLines="0" w:line="360" w:lineRule="auto"/>
        <w:ind w:firstLine="480" w:firstLineChars="200"/>
        <w:jc w:val="both"/>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项目全过程造价咨询服务</w:t>
      </w:r>
      <w:r>
        <w:rPr>
          <w:rFonts w:hint="eastAsia" w:ascii="微软雅黑" w:hAnsi="微软雅黑" w:eastAsia="微软雅黑" w:cs="微软雅黑"/>
          <w:color w:val="000000" w:themeColor="text1"/>
          <w:sz w:val="24"/>
          <w:szCs w:val="24"/>
          <w14:textFill>
            <w14:solidFill>
              <w14:schemeClr w14:val="tx1"/>
            </w14:solidFill>
          </w14:textFill>
        </w:rPr>
        <w:t>，具体包括：</w:t>
      </w:r>
    </w:p>
    <w:p w14:paraId="2E754FD4">
      <w:pPr>
        <w:spacing w:afterLines="0" w:line="360" w:lineRule="auto"/>
        <w:ind w:firstLine="480" w:firstLineChars="200"/>
        <w:jc w:val="both"/>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（1）施工招标阶段：工程量清单及拦标价的编制。</w:t>
      </w:r>
    </w:p>
    <w:p w14:paraId="0EEDB2FD">
      <w:pPr>
        <w:spacing w:afterLines="0" w:line="360" w:lineRule="auto"/>
        <w:ind w:firstLine="480" w:firstLineChars="200"/>
        <w:jc w:val="both"/>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2）施工阶段：协助施工合同商务谈判及商务条款的拟定，工程数量台账的审核、设计增减变更的造价审查和施工方案优化及经济比选，新增工程的组价计价、单价控制价的审核，工程计量、工程签证及进度款的支付审核控制、本工程全部合同履行过程中的价款支付审核控制及工程索赔的处理。</w:t>
      </w:r>
    </w:p>
    <w:p w14:paraId="1D702587">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（3）竣工阶段：工程结算审核</w:t>
      </w:r>
      <w:r>
        <w:rPr>
          <w:rFonts w:hint="eastAsia" w:ascii="微软雅黑" w:hAnsi="微软雅黑" w:eastAsia="微软雅黑" w:cs="微软雅黑"/>
          <w:color w:val="000000" w:themeColor="text1"/>
          <w:sz w:val="24"/>
          <w:szCs w:val="24"/>
          <w14:textFill>
            <w14:solidFill>
              <w14:schemeClr w14:val="tx1"/>
            </w14:solidFill>
          </w14:textFill>
        </w:rPr>
        <w:t>（仅含基本费）</w:t>
      </w:r>
      <w:r>
        <w:rPr>
          <w:rFonts w:hint="eastAsia" w:ascii="微软雅黑" w:hAnsi="微软雅黑" w:eastAsia="微软雅黑" w:cs="微软雅黑"/>
          <w:bCs/>
          <w:color w:val="000000" w:themeColor="text1"/>
          <w:sz w:val="24"/>
          <w:szCs w:val="24"/>
          <w14:textFill>
            <w14:solidFill>
              <w14:schemeClr w14:val="tx1"/>
            </w14:solidFill>
          </w14:textFill>
        </w:rPr>
        <w:t>及配合本项目的竣工结算审计工作。</w:t>
      </w:r>
    </w:p>
    <w:p w14:paraId="2791517F">
      <w:pPr>
        <w:spacing w:afterLines="0" w:line="360" w:lineRule="auto"/>
        <w:ind w:firstLine="480" w:firstLineChars="200"/>
        <w:jc w:val="both"/>
        <w:rPr>
          <w:rFonts w:hint="eastAsia" w:ascii="微软雅黑" w:hAnsi="微软雅黑" w:eastAsia="微软雅黑" w:cs="微软雅黑"/>
          <w:b/>
          <w:bCs/>
          <w:color w:val="000000" w:themeColor="text1"/>
          <w:sz w:val="24"/>
          <w:szCs w:val="24"/>
          <w14:textFill>
            <w14:solidFill>
              <w14:schemeClr w14:val="tx1"/>
            </w14:solidFill>
          </w14:textFill>
        </w:rPr>
      </w:pPr>
    </w:p>
    <w:p w14:paraId="1CC282DE">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五、</w:t>
      </w:r>
      <w:r>
        <w:rPr>
          <w:rFonts w:hint="eastAsia" w:ascii="微软雅黑" w:hAnsi="微软雅黑" w:eastAsia="微软雅黑" w:cs="微软雅黑"/>
          <w:color w:val="000000" w:themeColor="text1"/>
          <w:sz w:val="24"/>
          <w:szCs w:val="24"/>
          <w14:textFill>
            <w14:solidFill>
              <w14:schemeClr w14:val="tx1"/>
            </w14:solidFill>
          </w14:textFill>
        </w:rPr>
        <w:t>甲方同意按照本合同约定的期限、方式、币种、额度向乙方支付酬金。</w:t>
      </w:r>
    </w:p>
    <w:p w14:paraId="0E9F9CA2">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p>
    <w:p w14:paraId="7A89951C">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六、</w:t>
      </w:r>
      <w:r>
        <w:rPr>
          <w:rFonts w:hint="eastAsia" w:ascii="微软雅黑" w:hAnsi="微软雅黑" w:eastAsia="微软雅黑" w:cs="微软雅黑"/>
          <w:color w:val="000000" w:themeColor="text1"/>
          <w:sz w:val="24"/>
          <w:szCs w:val="24"/>
          <w14:textFill>
            <w14:solidFill>
              <w14:schemeClr w14:val="tx1"/>
            </w14:solidFill>
          </w14:textFill>
        </w:rPr>
        <w:t>本合同的建设工程造价咨询业务自</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日开始实施，至咨询费付清且乙方履行完全部义务之日终结。</w:t>
      </w:r>
    </w:p>
    <w:p w14:paraId="419BBC4E">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p>
    <w:p w14:paraId="5737495A">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七、</w:t>
      </w:r>
      <w:r>
        <w:rPr>
          <w:rFonts w:hint="eastAsia" w:ascii="微软雅黑" w:hAnsi="微软雅黑" w:eastAsia="微软雅黑" w:cs="微软雅黑"/>
          <w:color w:val="000000" w:themeColor="text1"/>
          <w:sz w:val="24"/>
          <w:szCs w:val="24"/>
          <w14:textFill>
            <w14:solidFill>
              <w14:schemeClr w14:val="tx1"/>
            </w14:solidFill>
          </w14:textFill>
        </w:rPr>
        <w:t>本合同一式</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份，具有同等法律效力，自双方盖章并经法定代表人后委托代理人签字之日起生效，甲方持</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份，乙方持</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w:t>
      </w:r>
    </w:p>
    <w:p w14:paraId="4EF1819E">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p>
    <w:p w14:paraId="392BCF62">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委托人：（盖章）            咨询人：（盖章）</w:t>
      </w:r>
    </w:p>
    <w:p w14:paraId="575C7FDA">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       法定代表人：（签字）</w:t>
      </w:r>
    </w:p>
    <w:p w14:paraId="452C59B3">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       委托代理人：（签字）</w:t>
      </w:r>
    </w:p>
    <w:p w14:paraId="0D91B77B">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住所：                     住所： </w:t>
      </w:r>
    </w:p>
    <w:p w14:paraId="4A8D650D">
      <w:pPr>
        <w:tabs>
          <w:tab w:val="left" w:pos="3764"/>
        </w:tabs>
        <w:spacing w:afterLines="0" w:line="360" w:lineRule="auto"/>
        <w:ind w:firstLine="480" w:firstLineChars="200"/>
        <w:jc w:val="both"/>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开户名：                   开户名：</w:t>
      </w:r>
    </w:p>
    <w:p w14:paraId="72D749F0">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开户行：                 </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开户行：</w:t>
      </w:r>
    </w:p>
    <w:p w14:paraId="51335408">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银行</w:t>
      </w:r>
      <w:r>
        <w:rPr>
          <w:rFonts w:hint="eastAsia" w:ascii="微软雅黑" w:hAnsi="微软雅黑" w:eastAsia="微软雅黑" w:cs="微软雅黑"/>
          <w:color w:val="000000" w:themeColor="text1"/>
          <w:sz w:val="24"/>
          <w:szCs w:val="24"/>
          <w14:textFill>
            <w14:solidFill>
              <w14:schemeClr w14:val="tx1"/>
            </w14:solidFill>
          </w14:textFill>
        </w:rPr>
        <w:t xml:space="preserve">帐号：                 </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银行</w:t>
      </w:r>
      <w:r>
        <w:rPr>
          <w:rFonts w:hint="eastAsia" w:ascii="微软雅黑" w:hAnsi="微软雅黑" w:eastAsia="微软雅黑" w:cs="微软雅黑"/>
          <w:color w:val="000000" w:themeColor="text1"/>
          <w:sz w:val="24"/>
          <w:szCs w:val="24"/>
          <w14:textFill>
            <w14:solidFill>
              <w14:schemeClr w14:val="tx1"/>
            </w14:solidFill>
          </w14:textFill>
        </w:rPr>
        <w:t xml:space="preserve">帐号： </w:t>
      </w:r>
    </w:p>
    <w:p w14:paraId="5C770213">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邮政编码：                 邮政编码： </w:t>
      </w:r>
    </w:p>
    <w:p w14:paraId="290C9918">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电话：                     电话： </w:t>
      </w:r>
    </w:p>
    <w:p w14:paraId="0D109CDC">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传真：                    </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传真：</w:t>
      </w:r>
    </w:p>
    <w:p w14:paraId="12E99273">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p>
    <w:p w14:paraId="0DB89F73">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签订时间：年月日</w:t>
      </w:r>
    </w:p>
    <w:p w14:paraId="79869A87">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签订地点：</w:t>
      </w:r>
    </w:p>
    <w:p w14:paraId="67264607">
      <w:pPr>
        <w:pStyle w:val="2"/>
        <w:spacing w:afterLines="0" w:line="360" w:lineRule="auto"/>
        <w:ind w:firstLine="0"/>
        <w:jc w:val="center"/>
        <w:rPr>
          <w:rFonts w:hint="eastAsia" w:ascii="微软雅黑" w:hAnsi="微软雅黑" w:eastAsia="微软雅黑" w:cs="微软雅黑"/>
          <w:b/>
          <w:color w:val="000000" w:themeColor="text1"/>
          <w:sz w:val="24"/>
          <w:szCs w:val="24"/>
          <w14:textFill>
            <w14:solidFill>
              <w14:schemeClr w14:val="tx1"/>
            </w14:solidFill>
          </w14:textFill>
        </w:rPr>
      </w:pPr>
      <w:bookmarkStart w:id="5" w:name="_Toc431395016"/>
      <w:bookmarkStart w:id="6" w:name="_Toc445295745"/>
      <w:bookmarkStart w:id="7" w:name="_Toc17212"/>
    </w:p>
    <w:p w14:paraId="1606D280">
      <w:pPr>
        <w:pStyle w:val="2"/>
        <w:spacing w:afterLines="0" w:line="360" w:lineRule="auto"/>
        <w:ind w:firstLine="0"/>
        <w:jc w:val="center"/>
        <w:rPr>
          <w:rFonts w:hint="eastAsia" w:ascii="微软雅黑" w:hAnsi="微软雅黑" w:eastAsia="微软雅黑" w:cs="微软雅黑"/>
          <w:b/>
          <w:color w:val="000000" w:themeColor="text1"/>
          <w:sz w:val="24"/>
          <w:szCs w:val="24"/>
          <w14:textFill>
            <w14:solidFill>
              <w14:schemeClr w14:val="tx1"/>
            </w14:solidFill>
          </w14:textFill>
        </w:rPr>
      </w:pPr>
    </w:p>
    <w:p w14:paraId="4E098A96">
      <w:pPr>
        <w:pStyle w:val="2"/>
        <w:spacing w:afterLines="0" w:line="360" w:lineRule="auto"/>
        <w:ind w:firstLine="0"/>
        <w:jc w:val="center"/>
        <w:rPr>
          <w:rFonts w:hint="eastAsia" w:ascii="微软雅黑" w:hAnsi="微软雅黑" w:eastAsia="微软雅黑" w:cs="微软雅黑"/>
          <w:b/>
          <w:color w:val="000000" w:themeColor="text1"/>
          <w:sz w:val="24"/>
          <w:szCs w:val="24"/>
          <w14:textFill>
            <w14:solidFill>
              <w14:schemeClr w14:val="tx1"/>
            </w14:solidFill>
          </w14:textFill>
        </w:rPr>
      </w:pPr>
    </w:p>
    <w:p w14:paraId="06C4EFD5">
      <w:pPr>
        <w:pStyle w:val="2"/>
        <w:spacing w:afterLines="0" w:line="360" w:lineRule="auto"/>
        <w:ind w:firstLine="0"/>
        <w:jc w:val="center"/>
        <w:rPr>
          <w:rFonts w:hint="eastAsia" w:ascii="微软雅黑" w:hAnsi="微软雅黑" w:eastAsia="微软雅黑" w:cs="微软雅黑"/>
          <w:b/>
          <w:color w:val="000000" w:themeColor="text1"/>
          <w:sz w:val="24"/>
          <w:szCs w:val="24"/>
          <w14:textFill>
            <w14:solidFill>
              <w14:schemeClr w14:val="tx1"/>
            </w14:solidFill>
          </w14:textFill>
        </w:rPr>
      </w:pPr>
    </w:p>
    <w:p w14:paraId="6C746CF8">
      <w:pPr>
        <w:pStyle w:val="2"/>
        <w:spacing w:afterLines="0" w:line="360" w:lineRule="auto"/>
        <w:ind w:firstLine="0"/>
        <w:jc w:val="center"/>
        <w:rPr>
          <w:rFonts w:hint="eastAsia" w:ascii="微软雅黑" w:hAnsi="微软雅黑" w:eastAsia="微软雅黑" w:cs="微软雅黑"/>
          <w:b/>
          <w:color w:val="000000" w:themeColor="text1"/>
          <w:sz w:val="24"/>
          <w:szCs w:val="24"/>
          <w14:textFill>
            <w14:solidFill>
              <w14:schemeClr w14:val="tx1"/>
            </w14:solidFill>
          </w14:textFill>
        </w:rPr>
      </w:pPr>
    </w:p>
    <w:p w14:paraId="251205EE">
      <w:pPr>
        <w:pStyle w:val="2"/>
        <w:spacing w:afterLines="0" w:line="360" w:lineRule="auto"/>
        <w:ind w:firstLine="0"/>
        <w:jc w:val="center"/>
        <w:rPr>
          <w:rFonts w:hint="eastAsia" w:ascii="微软雅黑" w:hAnsi="微软雅黑" w:eastAsia="微软雅黑" w:cs="微软雅黑"/>
          <w:b/>
          <w:color w:val="000000" w:themeColor="text1"/>
          <w:sz w:val="24"/>
          <w:szCs w:val="24"/>
          <w14:textFill>
            <w14:solidFill>
              <w14:schemeClr w14:val="tx1"/>
            </w14:solidFill>
          </w14:textFill>
        </w:rPr>
      </w:pPr>
    </w:p>
    <w:p w14:paraId="3FA5EE39">
      <w:pPr>
        <w:pStyle w:val="2"/>
        <w:spacing w:afterLines="0" w:line="360" w:lineRule="auto"/>
        <w:ind w:firstLine="0"/>
        <w:jc w:val="center"/>
        <w:rPr>
          <w:rFonts w:hint="eastAsia" w:ascii="微软雅黑" w:hAnsi="微软雅黑" w:eastAsia="微软雅黑" w:cs="微软雅黑"/>
          <w:b/>
          <w:color w:val="000000" w:themeColor="text1"/>
          <w:sz w:val="24"/>
          <w:szCs w:val="24"/>
          <w14:textFill>
            <w14:solidFill>
              <w14:schemeClr w14:val="tx1"/>
            </w14:solidFill>
          </w14:textFill>
        </w:rPr>
      </w:pPr>
    </w:p>
    <w:p w14:paraId="3DF9E3C4">
      <w:pPr>
        <w:pStyle w:val="2"/>
        <w:spacing w:afterLines="0" w:line="360" w:lineRule="auto"/>
        <w:ind w:firstLine="0"/>
        <w:jc w:val="center"/>
        <w:rPr>
          <w:rFonts w:hint="eastAsia" w:ascii="微软雅黑" w:hAnsi="微软雅黑" w:eastAsia="微软雅黑" w:cs="微软雅黑"/>
          <w:b/>
          <w:color w:val="000000" w:themeColor="text1"/>
          <w:sz w:val="24"/>
          <w:szCs w:val="24"/>
          <w14:textFill>
            <w14:solidFill>
              <w14:schemeClr w14:val="tx1"/>
            </w14:solidFill>
          </w14:textFill>
        </w:rPr>
      </w:pPr>
    </w:p>
    <w:p w14:paraId="1D96B0FB">
      <w:pPr>
        <w:pStyle w:val="2"/>
        <w:spacing w:afterLines="0" w:line="360" w:lineRule="auto"/>
        <w:ind w:firstLine="0"/>
        <w:jc w:val="center"/>
        <w:rPr>
          <w:rFonts w:hint="eastAsia" w:ascii="微软雅黑" w:hAnsi="微软雅黑" w:eastAsia="微软雅黑" w:cs="微软雅黑"/>
          <w:b/>
          <w:color w:val="000000" w:themeColor="text1"/>
          <w:sz w:val="24"/>
          <w:szCs w:val="24"/>
          <w14:textFill>
            <w14:solidFill>
              <w14:schemeClr w14:val="tx1"/>
            </w14:solidFill>
          </w14:textFill>
        </w:rPr>
      </w:pPr>
    </w:p>
    <w:p w14:paraId="3D60A1AD">
      <w:pPr>
        <w:pStyle w:val="2"/>
        <w:spacing w:afterLines="0" w:line="360" w:lineRule="auto"/>
        <w:ind w:firstLine="0"/>
        <w:jc w:val="center"/>
        <w:rPr>
          <w:rFonts w:hint="eastAsia" w:ascii="微软雅黑" w:hAnsi="微软雅黑" w:eastAsia="微软雅黑" w:cs="微软雅黑"/>
          <w:b/>
          <w:color w:val="000000" w:themeColor="text1"/>
          <w:sz w:val="24"/>
          <w:szCs w:val="24"/>
          <w14:textFill>
            <w14:solidFill>
              <w14:schemeClr w14:val="tx1"/>
            </w14:solidFill>
          </w14:textFill>
        </w:rPr>
      </w:pPr>
    </w:p>
    <w:p w14:paraId="41B03DB3">
      <w:pPr>
        <w:pStyle w:val="2"/>
        <w:spacing w:afterLines="0" w:line="360" w:lineRule="auto"/>
        <w:ind w:firstLine="0"/>
        <w:jc w:val="center"/>
        <w:rPr>
          <w:rFonts w:hint="eastAsia" w:ascii="微软雅黑" w:hAnsi="微软雅黑" w:eastAsia="微软雅黑" w:cs="微软雅黑"/>
          <w:b/>
          <w:color w:val="000000" w:themeColor="text1"/>
          <w:sz w:val="24"/>
          <w:szCs w:val="24"/>
          <w14:textFill>
            <w14:solidFill>
              <w14:schemeClr w14:val="tx1"/>
            </w14:solidFill>
          </w14:textFill>
        </w:rPr>
      </w:pPr>
    </w:p>
    <w:p w14:paraId="1B4D1A35">
      <w:pPr>
        <w:pStyle w:val="2"/>
        <w:spacing w:afterLines="0" w:line="360" w:lineRule="auto"/>
        <w:ind w:firstLine="0"/>
        <w:jc w:val="center"/>
        <w:rPr>
          <w:rFonts w:hint="eastAsia" w:ascii="微软雅黑" w:hAnsi="微软雅黑" w:eastAsia="微软雅黑" w:cs="微软雅黑"/>
          <w:b/>
          <w:color w:val="000000" w:themeColor="text1"/>
          <w:sz w:val="24"/>
          <w:szCs w:val="24"/>
          <w14:textFill>
            <w14:solidFill>
              <w14:schemeClr w14:val="tx1"/>
            </w14:solidFill>
          </w14:textFill>
        </w:rPr>
      </w:pPr>
    </w:p>
    <w:p w14:paraId="7ED614E5">
      <w:pPr>
        <w:pStyle w:val="2"/>
        <w:spacing w:afterLines="0" w:line="360" w:lineRule="auto"/>
        <w:ind w:firstLine="0"/>
        <w:jc w:val="center"/>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第二部分</w:t>
      </w:r>
      <w:r>
        <w:rPr>
          <w:rFonts w:hint="eastAsia" w:ascii="微软雅黑" w:hAnsi="微软雅黑" w:eastAsia="微软雅黑" w:cs="微软雅黑"/>
          <w:b/>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b/>
          <w:color w:val="000000" w:themeColor="text1"/>
          <w:sz w:val="24"/>
          <w:szCs w:val="24"/>
          <w14:textFill>
            <w14:solidFill>
              <w14:schemeClr w14:val="tx1"/>
            </w14:solidFill>
          </w14:textFill>
        </w:rPr>
        <w:t>建设工程造价咨询合同</w:t>
      </w:r>
      <w:bookmarkEnd w:id="5"/>
      <w:bookmarkEnd w:id="6"/>
      <w:r>
        <w:rPr>
          <w:rFonts w:hint="eastAsia" w:ascii="微软雅黑" w:hAnsi="微软雅黑" w:eastAsia="微软雅黑" w:cs="微软雅黑"/>
          <w:b/>
          <w:color w:val="000000" w:themeColor="text1"/>
          <w:sz w:val="24"/>
          <w:szCs w:val="24"/>
          <w14:textFill>
            <w14:solidFill>
              <w14:schemeClr w14:val="tx1"/>
            </w14:solidFill>
          </w14:textFill>
        </w:rPr>
        <w:t>标准条件</w:t>
      </w:r>
      <w:bookmarkEnd w:id="7"/>
    </w:p>
    <w:p w14:paraId="49AE3595">
      <w:pPr>
        <w:spacing w:afterLines="0" w:line="360" w:lineRule="auto"/>
        <w:jc w:val="center"/>
        <w:rPr>
          <w:rFonts w:hint="eastAsia" w:ascii="微软雅黑" w:hAnsi="微软雅黑" w:eastAsia="微软雅黑" w:cs="微软雅黑"/>
          <w:b/>
          <w:color w:val="000000" w:themeColor="text1"/>
          <w:sz w:val="24"/>
          <w:szCs w:val="24"/>
          <w14:textFill>
            <w14:solidFill>
              <w14:schemeClr w14:val="tx1"/>
            </w14:solidFill>
          </w14:textFill>
        </w:rPr>
      </w:pPr>
      <w:bookmarkStart w:id="8" w:name="_Toc15923"/>
      <w:r>
        <w:rPr>
          <w:rFonts w:hint="eastAsia" w:ascii="微软雅黑" w:hAnsi="微软雅黑" w:eastAsia="微软雅黑" w:cs="微软雅黑"/>
          <w:b/>
          <w:color w:val="000000" w:themeColor="text1"/>
          <w:sz w:val="24"/>
          <w:szCs w:val="24"/>
          <w14:textFill>
            <w14:solidFill>
              <w14:schemeClr w14:val="tx1"/>
            </w14:solidFill>
          </w14:textFill>
        </w:rPr>
        <w:t>词语定义、适用语言和法律、法规</w:t>
      </w:r>
      <w:bookmarkEnd w:id="8"/>
    </w:p>
    <w:p w14:paraId="010E7613">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第一条</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下列名词和用语，除上下文另有规定外具有如下含义。</w:t>
      </w:r>
    </w:p>
    <w:p w14:paraId="06DF1E4D">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1."甲方"是指委托建设工程造价咨询业务和聘用工程造价咨询单位的一方，以及其合法继承人。</w:t>
      </w:r>
    </w:p>
    <w:p w14:paraId="2EBA2034">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2."乙方"是指承担建设工程造价咨询业务和工程造价咨询责任的一方，以及其合法继承人。</w:t>
      </w:r>
    </w:p>
    <w:p w14:paraId="607D0B8B">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3."第三人"是指除甲方、乙方以外与本咨询业务有关的当事人。</w:t>
      </w:r>
    </w:p>
    <w:p w14:paraId="41625D1A">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4."日"是指任何一天零时至第二天零时的时间段。</w:t>
      </w:r>
    </w:p>
    <w:p w14:paraId="5B1C8CA9">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第二条</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建设工程造价咨询合同适用的是中国的法律、法规，以及专用条件中议定的部门规章、工程造价有关计价办法和规定或项目所在地的地方法规、地方规章。</w:t>
      </w:r>
    </w:p>
    <w:p w14:paraId="28AEBC5C">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第三条</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建设工程造价咨询合同的书写、解释和说明，以汉语为主导语言。当不同语言文本发生不同解释时，以汉语合同文本为准。</w:t>
      </w:r>
    </w:p>
    <w:p w14:paraId="548AB008">
      <w:pPr>
        <w:spacing w:afterLines="0" w:line="360" w:lineRule="auto"/>
        <w:jc w:val="center"/>
        <w:rPr>
          <w:rFonts w:hint="eastAsia" w:ascii="微软雅黑" w:hAnsi="微软雅黑" w:eastAsia="微软雅黑" w:cs="微软雅黑"/>
          <w:b/>
          <w:color w:val="000000" w:themeColor="text1"/>
          <w:sz w:val="24"/>
          <w:szCs w:val="24"/>
          <w14:textFill>
            <w14:solidFill>
              <w14:schemeClr w14:val="tx1"/>
            </w14:solidFill>
          </w14:textFill>
        </w:rPr>
      </w:pPr>
      <w:bookmarkStart w:id="9" w:name="_Toc13121"/>
      <w:bookmarkStart w:id="10" w:name="_Toc21717"/>
      <w:r>
        <w:rPr>
          <w:rFonts w:hint="eastAsia" w:ascii="微软雅黑" w:hAnsi="微软雅黑" w:eastAsia="微软雅黑" w:cs="微软雅黑"/>
          <w:b/>
          <w:color w:val="000000" w:themeColor="text1"/>
          <w:sz w:val="24"/>
          <w:szCs w:val="24"/>
          <w14:textFill>
            <w14:solidFill>
              <w14:schemeClr w14:val="tx1"/>
            </w14:solidFill>
          </w14:textFill>
        </w:rPr>
        <w:t>乙方的义务</w:t>
      </w:r>
      <w:bookmarkEnd w:id="9"/>
      <w:bookmarkEnd w:id="10"/>
    </w:p>
    <w:p w14:paraId="62BFBA18">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第四条</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向甲方提供与工程造价咨询业务有关的资料，包括工程造价咨询的资质证书及承担本合同业务的专业人员名单、咨询工作计划等，并按合同专用条件中约定的范围实施咨询业务。</w:t>
      </w:r>
    </w:p>
    <w:p w14:paraId="13E01C04">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第五条</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乙方在履行本合同期间，向甲方提供的服务包括正常服务、附加服务和额外服务。</w:t>
      </w:r>
    </w:p>
    <w:p w14:paraId="7D5C40F7">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1、"正常服务"是指双方在专用条件中约定的工程造价咨询工作；</w:t>
      </w:r>
    </w:p>
    <w:p w14:paraId="10740992">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2、"附加服务"是指在"正常服务"以外，经双方书面协议确定的附加服务；</w:t>
      </w:r>
    </w:p>
    <w:p w14:paraId="6C09833E">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3、"额外服务"是指不属于"正常服务"和"附加服务"，但根据合同标准条件第十三条、第二十条和二十二条的规定，乙方应增加的额外工作量。</w:t>
      </w:r>
    </w:p>
    <w:p w14:paraId="0B48E734">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第六条</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在履行合同期间或合同规定期限内，不得泄露与本合同规定业务活动有关的保密资料。</w:t>
      </w:r>
    </w:p>
    <w:p w14:paraId="1964A690">
      <w:pPr>
        <w:spacing w:afterLines="0" w:line="360" w:lineRule="auto"/>
        <w:jc w:val="center"/>
        <w:rPr>
          <w:rFonts w:hint="eastAsia" w:ascii="微软雅黑" w:hAnsi="微软雅黑" w:eastAsia="微软雅黑" w:cs="微软雅黑"/>
          <w:b/>
          <w:color w:val="000000" w:themeColor="text1"/>
          <w:sz w:val="24"/>
          <w:szCs w:val="24"/>
          <w14:textFill>
            <w14:solidFill>
              <w14:schemeClr w14:val="tx1"/>
            </w14:solidFill>
          </w14:textFill>
        </w:rPr>
      </w:pPr>
      <w:bookmarkStart w:id="11" w:name="_Toc31970"/>
      <w:bookmarkStart w:id="12" w:name="_Toc17420"/>
      <w:r>
        <w:rPr>
          <w:rFonts w:hint="eastAsia" w:ascii="微软雅黑" w:hAnsi="微软雅黑" w:eastAsia="微软雅黑" w:cs="微软雅黑"/>
          <w:b/>
          <w:color w:val="000000" w:themeColor="text1"/>
          <w:sz w:val="24"/>
          <w:szCs w:val="24"/>
          <w14:textFill>
            <w14:solidFill>
              <w14:schemeClr w14:val="tx1"/>
            </w14:solidFill>
          </w14:textFill>
        </w:rPr>
        <w:t>甲方的义务</w:t>
      </w:r>
      <w:bookmarkEnd w:id="11"/>
      <w:bookmarkEnd w:id="12"/>
    </w:p>
    <w:p w14:paraId="4691011D">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第七条</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甲方应负责与本建设工程造价咨询业务有关的第三人的协调，为乙方工作提供外部条件。</w:t>
      </w:r>
    </w:p>
    <w:p w14:paraId="1FFC4E9F">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第八条</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甲方应当在约定的时间内，免费向乙方提供与本项目咨询业务有关的资料。</w:t>
      </w:r>
    </w:p>
    <w:p w14:paraId="3F572A9C">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第九条</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甲方应当在约定的时间内就乙方书面提交并要求做出答复的事宜做出书面答复。乙方要求第三人提供有关资料时，甲方应负责转达及资料转送。</w:t>
      </w:r>
    </w:p>
    <w:p w14:paraId="32D97A61">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第十条</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甲方应当授权胜任本咨询业务的代表，负责与乙方联系。</w:t>
      </w:r>
    </w:p>
    <w:p w14:paraId="7193E26F">
      <w:pPr>
        <w:spacing w:afterLines="0" w:line="360" w:lineRule="auto"/>
        <w:jc w:val="center"/>
        <w:rPr>
          <w:rFonts w:hint="eastAsia" w:ascii="微软雅黑" w:hAnsi="微软雅黑" w:eastAsia="微软雅黑" w:cs="微软雅黑"/>
          <w:b/>
          <w:color w:val="000000" w:themeColor="text1"/>
          <w:sz w:val="24"/>
          <w:szCs w:val="24"/>
          <w14:textFill>
            <w14:solidFill>
              <w14:schemeClr w14:val="tx1"/>
            </w14:solidFill>
          </w14:textFill>
        </w:rPr>
      </w:pPr>
      <w:bookmarkStart w:id="13" w:name="_Toc3677"/>
      <w:bookmarkStart w:id="14" w:name="_Toc16388"/>
      <w:r>
        <w:rPr>
          <w:rFonts w:hint="eastAsia" w:ascii="微软雅黑" w:hAnsi="微软雅黑" w:eastAsia="微软雅黑" w:cs="微软雅黑"/>
          <w:b/>
          <w:color w:val="000000" w:themeColor="text1"/>
          <w:sz w:val="24"/>
          <w:szCs w:val="24"/>
          <w14:textFill>
            <w14:solidFill>
              <w14:schemeClr w14:val="tx1"/>
            </w14:solidFill>
          </w14:textFill>
        </w:rPr>
        <w:t>乙方的权利</w:t>
      </w:r>
      <w:bookmarkEnd w:id="13"/>
      <w:bookmarkEnd w:id="14"/>
    </w:p>
    <w:p w14:paraId="59FA5239">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第十一条</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甲方在委托的建设工程造价咨询业务范围内，授予乙方以下权利：</w:t>
      </w:r>
    </w:p>
    <w:p w14:paraId="02D92F9C">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1.乙方在咨询过程中，如甲方提供的资料不明确时可向甲方提出书面报告。</w:t>
      </w:r>
    </w:p>
    <w:p w14:paraId="13743169">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2.乙方在咨询过程中，有权对第三人提出与本咨询业务有关的问题进行核对或查问。</w:t>
      </w:r>
    </w:p>
    <w:p w14:paraId="2EBDDFBA">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3.乙方在咨询过程中，有到工程现场勘察的权利。</w:t>
      </w:r>
    </w:p>
    <w:p w14:paraId="1E1C3DB2">
      <w:pPr>
        <w:spacing w:afterLines="0" w:line="360" w:lineRule="auto"/>
        <w:jc w:val="center"/>
        <w:rPr>
          <w:rFonts w:hint="eastAsia" w:ascii="微软雅黑" w:hAnsi="微软雅黑" w:eastAsia="微软雅黑" w:cs="微软雅黑"/>
          <w:b/>
          <w:color w:val="000000" w:themeColor="text1"/>
          <w:sz w:val="24"/>
          <w:szCs w:val="24"/>
          <w14:textFill>
            <w14:solidFill>
              <w14:schemeClr w14:val="tx1"/>
            </w14:solidFill>
          </w14:textFill>
        </w:rPr>
      </w:pPr>
      <w:bookmarkStart w:id="15" w:name="_Toc4418"/>
      <w:bookmarkStart w:id="16" w:name="_Toc1656"/>
      <w:r>
        <w:rPr>
          <w:rFonts w:hint="eastAsia" w:ascii="微软雅黑" w:hAnsi="微软雅黑" w:eastAsia="微软雅黑" w:cs="微软雅黑"/>
          <w:b/>
          <w:color w:val="000000" w:themeColor="text1"/>
          <w:sz w:val="24"/>
          <w:szCs w:val="24"/>
          <w14:textFill>
            <w14:solidFill>
              <w14:schemeClr w14:val="tx1"/>
            </w14:solidFill>
          </w14:textFill>
        </w:rPr>
        <w:t>甲方的权利</w:t>
      </w:r>
      <w:bookmarkEnd w:id="15"/>
      <w:bookmarkEnd w:id="16"/>
    </w:p>
    <w:p w14:paraId="222C0CDE">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i w:val="0"/>
          <w:iCs w:val="0"/>
          <w:color w:val="000000" w:themeColor="text1"/>
          <w:sz w:val="24"/>
          <w:szCs w:val="24"/>
          <w14:textFill>
            <w14:solidFill>
              <w14:schemeClr w14:val="tx1"/>
            </w14:solidFill>
          </w14:textFill>
        </w:rPr>
        <w:t>第十二条</w:t>
      </w:r>
      <w:r>
        <w:rPr>
          <w:rFonts w:hint="eastAsia" w:ascii="微软雅黑" w:hAnsi="微软雅黑" w:eastAsia="微软雅黑" w:cs="微软雅黑"/>
          <w:b/>
          <w:bCs/>
          <w:i w:val="0"/>
          <w:iCs w:val="0"/>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甲方有下列权利：</w:t>
      </w:r>
    </w:p>
    <w:p w14:paraId="010674F7">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1.甲方有权向乙方询问工作进展情况及相关的内容。</w:t>
      </w:r>
    </w:p>
    <w:p w14:paraId="10E3BF4B">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2.甲方有权阐述对具体问题的意见和建议。</w:t>
      </w:r>
    </w:p>
    <w:p w14:paraId="2D2A3CAE">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3.当甲方认定咨询专业人员不按咨询合同履行其职责，或与第三人串通给甲方造成经济损失的，甲方有权要求更换咨询专业人员，直至终止合同并要求乙方承担相应的赔偿责任。</w:t>
      </w:r>
    </w:p>
    <w:p w14:paraId="64D7B451">
      <w:pPr>
        <w:spacing w:afterLines="0" w:line="360" w:lineRule="auto"/>
        <w:jc w:val="center"/>
        <w:rPr>
          <w:rFonts w:hint="eastAsia" w:ascii="微软雅黑" w:hAnsi="微软雅黑" w:eastAsia="微软雅黑" w:cs="微软雅黑"/>
          <w:b/>
          <w:color w:val="000000" w:themeColor="text1"/>
          <w:sz w:val="24"/>
          <w:szCs w:val="24"/>
          <w14:textFill>
            <w14:solidFill>
              <w14:schemeClr w14:val="tx1"/>
            </w14:solidFill>
          </w14:textFill>
        </w:rPr>
      </w:pPr>
      <w:bookmarkStart w:id="17" w:name="_Toc6976"/>
      <w:bookmarkStart w:id="18" w:name="_Toc32375"/>
      <w:r>
        <w:rPr>
          <w:rFonts w:hint="eastAsia" w:ascii="微软雅黑" w:hAnsi="微软雅黑" w:eastAsia="微软雅黑" w:cs="微软雅黑"/>
          <w:b/>
          <w:color w:val="000000" w:themeColor="text1"/>
          <w:sz w:val="24"/>
          <w:szCs w:val="24"/>
          <w14:textFill>
            <w14:solidFill>
              <w14:schemeClr w14:val="tx1"/>
            </w14:solidFill>
          </w14:textFill>
        </w:rPr>
        <w:t>乙方的责任</w:t>
      </w:r>
      <w:bookmarkEnd w:id="17"/>
      <w:bookmarkEnd w:id="18"/>
    </w:p>
    <w:p w14:paraId="28F485E9">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第十三条</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乙方的责任期即建设工程造价咨询合同有效期。如因非乙方的责任造成进度的推迟或延误而超过约定的日期，双方应进一步约定相应延长合同有效期。</w:t>
      </w:r>
    </w:p>
    <w:p w14:paraId="01D0350B">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第十四条</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乙方责任期内，应当履行建设工程造价咨询合同中约定的义务，因乙方的单方过失造成的经济损失，应当向甲方进行赔偿。累计赔偿总额不应超过建设工程造价咨询酬金总额（除去税金）。</w:t>
      </w:r>
    </w:p>
    <w:p w14:paraId="3C4798C7">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第十五条</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乙方对甲方或第三人所提出的问题不能及时核对或答复，导致合同不能全部或部分履行，乙方应承担责任。</w:t>
      </w:r>
    </w:p>
    <w:p w14:paraId="54E0C770">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第十六条</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乙方向甲方提出赔偿要求不能成立时，则应补偿由于该赔偿或其他要求所导致甲方的各种费用的支出。</w:t>
      </w:r>
    </w:p>
    <w:p w14:paraId="7435C2D6">
      <w:pPr>
        <w:spacing w:afterLines="0" w:line="360" w:lineRule="auto"/>
        <w:jc w:val="center"/>
        <w:rPr>
          <w:rFonts w:hint="eastAsia" w:ascii="微软雅黑" w:hAnsi="微软雅黑" w:eastAsia="微软雅黑" w:cs="微软雅黑"/>
          <w:b/>
          <w:color w:val="000000" w:themeColor="text1"/>
          <w:sz w:val="24"/>
          <w:szCs w:val="24"/>
          <w14:textFill>
            <w14:solidFill>
              <w14:schemeClr w14:val="tx1"/>
            </w14:solidFill>
          </w14:textFill>
        </w:rPr>
      </w:pPr>
      <w:bookmarkStart w:id="19" w:name="_Toc23344"/>
      <w:bookmarkStart w:id="20" w:name="_Toc1301"/>
      <w:r>
        <w:rPr>
          <w:rFonts w:hint="eastAsia" w:ascii="微软雅黑" w:hAnsi="微软雅黑" w:eastAsia="微软雅黑" w:cs="微软雅黑"/>
          <w:b/>
          <w:color w:val="000000" w:themeColor="text1"/>
          <w:sz w:val="24"/>
          <w:szCs w:val="24"/>
          <w14:textFill>
            <w14:solidFill>
              <w14:schemeClr w14:val="tx1"/>
            </w14:solidFill>
          </w14:textFill>
        </w:rPr>
        <w:t>甲方的责任</w:t>
      </w:r>
      <w:bookmarkEnd w:id="19"/>
      <w:bookmarkEnd w:id="20"/>
    </w:p>
    <w:p w14:paraId="0D6D3978">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第十七条</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甲方应当履行建设工程造价咨询合同约定的义务，如有违反则应当承担违约责任，赔偿给乙方造成的损失。</w:t>
      </w:r>
    </w:p>
    <w:p w14:paraId="3CF3668C">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第十八条</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甲方如果向乙方提出赔偿或其他要求不能成立时，则应补偿由于该赔偿或其他要求所导致乙方的各种费用的支出。</w:t>
      </w:r>
    </w:p>
    <w:p w14:paraId="48E08A10">
      <w:pPr>
        <w:spacing w:afterLines="0" w:line="360" w:lineRule="auto"/>
        <w:jc w:val="center"/>
        <w:rPr>
          <w:rFonts w:hint="eastAsia" w:ascii="微软雅黑" w:hAnsi="微软雅黑" w:eastAsia="微软雅黑" w:cs="微软雅黑"/>
          <w:b/>
          <w:color w:val="000000" w:themeColor="text1"/>
          <w:sz w:val="24"/>
          <w:szCs w:val="24"/>
          <w14:textFill>
            <w14:solidFill>
              <w14:schemeClr w14:val="tx1"/>
            </w14:solidFill>
          </w14:textFill>
        </w:rPr>
      </w:pPr>
      <w:bookmarkStart w:id="21" w:name="_Toc32723"/>
      <w:bookmarkStart w:id="22" w:name="_Toc29532"/>
      <w:r>
        <w:rPr>
          <w:rFonts w:hint="eastAsia" w:ascii="微软雅黑" w:hAnsi="微软雅黑" w:eastAsia="微软雅黑" w:cs="微软雅黑"/>
          <w:b/>
          <w:color w:val="000000" w:themeColor="text1"/>
          <w:sz w:val="24"/>
          <w:szCs w:val="24"/>
          <w14:textFill>
            <w14:solidFill>
              <w14:schemeClr w14:val="tx1"/>
            </w14:solidFill>
          </w14:textFill>
        </w:rPr>
        <w:t>合同生效，变更与终止</w:t>
      </w:r>
      <w:bookmarkEnd w:id="21"/>
      <w:bookmarkEnd w:id="22"/>
    </w:p>
    <w:p w14:paraId="01258C94">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第十九条</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本合同自双方签字盖章及法定代表人或委托代理人签字之日起生效。</w:t>
      </w:r>
    </w:p>
    <w:p w14:paraId="38E42E88">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第二十条</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由于甲方或第三人的原因使乙方工作受到阻碍或延误以致增加了工作量或持续时间，则乙方应当将此情况与可能产生的影响及时书面通知甲方。由此增加的工作量视为额外服务，完成建设工程造价咨询工作的时间应当相应延长，并得到额外的酬金。</w:t>
      </w:r>
    </w:p>
    <w:p w14:paraId="35B3024D">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第二十一条</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当事人一方要求变更或解除合同时，则应当在14日前通知对方；因变更或解除合同使一方遭受损失的，应由责任方负责赔偿。</w:t>
      </w:r>
    </w:p>
    <w:p w14:paraId="4E6E52A2">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第二十二条</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乙方由于非自身原因暂停或终止执行建设工程造价咨询业务，由此而增加的恢复执行建设工程造价咨询业务的工作，应视为额外服务，有权得到额外的时间和酬金。</w:t>
      </w:r>
    </w:p>
    <w:p w14:paraId="2AC47379">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第二十三条</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变更本合同内容应当采取书面形式，新的协议未达成之前，原合同仍然有效。</w:t>
      </w:r>
    </w:p>
    <w:p w14:paraId="6A708A84">
      <w:pPr>
        <w:spacing w:afterLines="0" w:line="360" w:lineRule="auto"/>
        <w:jc w:val="center"/>
        <w:rPr>
          <w:rFonts w:hint="eastAsia" w:ascii="微软雅黑" w:hAnsi="微软雅黑" w:eastAsia="微软雅黑" w:cs="微软雅黑"/>
          <w:b/>
          <w:color w:val="000000" w:themeColor="text1"/>
          <w:sz w:val="24"/>
          <w:szCs w:val="24"/>
          <w14:textFill>
            <w14:solidFill>
              <w14:schemeClr w14:val="tx1"/>
            </w14:solidFill>
          </w14:textFill>
        </w:rPr>
      </w:pPr>
      <w:bookmarkStart w:id="23" w:name="_Toc10755"/>
      <w:bookmarkStart w:id="24" w:name="_Toc30807"/>
      <w:r>
        <w:rPr>
          <w:rFonts w:hint="eastAsia" w:ascii="微软雅黑" w:hAnsi="微软雅黑" w:eastAsia="微软雅黑" w:cs="微软雅黑"/>
          <w:b/>
          <w:color w:val="000000" w:themeColor="text1"/>
          <w:sz w:val="24"/>
          <w:szCs w:val="24"/>
          <w14:textFill>
            <w14:solidFill>
              <w14:schemeClr w14:val="tx1"/>
            </w14:solidFill>
          </w14:textFill>
        </w:rPr>
        <w:t>咨询业务的酬金</w:t>
      </w:r>
      <w:bookmarkEnd w:id="23"/>
      <w:bookmarkEnd w:id="24"/>
    </w:p>
    <w:p w14:paraId="105A949F">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第二十四条</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正常的建设工程造价咨询业务，附加工作和额外工作的酬金，按照建设工程造价咨询合同专用条件约定的方法计取，并按约定的时间和数额支付。</w:t>
      </w:r>
    </w:p>
    <w:p w14:paraId="55B5AE10">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第二十五条</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如果甲方在乙方无违约情况时未在约定的支付期限内支付建设工程造价咨询酬金，自约定支付之日起，应当向乙方补偿应支付的酬金利息。利息额按规定支付期限最后一日同期银行贷款利率乘以拖欠酬金及时间计算。</w:t>
      </w:r>
    </w:p>
    <w:p w14:paraId="19040696">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第二十六条</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如果甲方对乙方提交的支付通知书中酬金或部分酬金项目提出异议，应当在收到支付通知书两日内向乙方发出异议的通知，但甲方不得拖延其无异议酬金项目的支付。</w:t>
      </w:r>
    </w:p>
    <w:p w14:paraId="01BDC546">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第二十七条</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支付建设工程造价咨询酬金所采取的货币币种、汇率由合同专用条件约定。</w:t>
      </w:r>
    </w:p>
    <w:p w14:paraId="156A4D73">
      <w:pPr>
        <w:spacing w:afterLines="0" w:line="360" w:lineRule="auto"/>
        <w:jc w:val="center"/>
        <w:rPr>
          <w:rFonts w:hint="eastAsia" w:ascii="微软雅黑" w:hAnsi="微软雅黑" w:eastAsia="微软雅黑" w:cs="微软雅黑"/>
          <w:b/>
          <w:color w:val="000000" w:themeColor="text1"/>
          <w:sz w:val="24"/>
          <w:szCs w:val="24"/>
          <w14:textFill>
            <w14:solidFill>
              <w14:schemeClr w14:val="tx1"/>
            </w14:solidFill>
          </w14:textFill>
        </w:rPr>
      </w:pPr>
      <w:bookmarkStart w:id="25" w:name="_Toc21212"/>
      <w:bookmarkStart w:id="26" w:name="_Toc14180"/>
      <w:r>
        <w:rPr>
          <w:rFonts w:hint="eastAsia" w:ascii="微软雅黑" w:hAnsi="微软雅黑" w:eastAsia="微软雅黑" w:cs="微软雅黑"/>
          <w:b/>
          <w:color w:val="000000" w:themeColor="text1"/>
          <w:sz w:val="24"/>
          <w:szCs w:val="24"/>
          <w14:textFill>
            <w14:solidFill>
              <w14:schemeClr w14:val="tx1"/>
            </w14:solidFill>
          </w14:textFill>
        </w:rPr>
        <w:t>其他</w:t>
      </w:r>
      <w:bookmarkEnd w:id="25"/>
      <w:bookmarkEnd w:id="26"/>
    </w:p>
    <w:p w14:paraId="0259BD98">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第二十八条</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因建设工程造价咨询业务的需要，乙方在合同约定外的外出考察，经甲方同意，其所需费用由甲方负责。</w:t>
      </w:r>
    </w:p>
    <w:p w14:paraId="675B5E52">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第二十九条</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乙方如需外聘专家协助，在委托的建设工程造价咨询业务范围内其费用由乙方承担；在委托的建设工程造价咨询业务范围以外经甲方认可其费用由甲方承担。</w:t>
      </w:r>
    </w:p>
    <w:p w14:paraId="1FABFE73">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第三十条</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未经对方的书面同意，各方均不得转让合同约定的权利和义务。</w:t>
      </w:r>
    </w:p>
    <w:p w14:paraId="348D583B">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第三十一条</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除甲方书面同意外，乙方及咨询专业人员不应接受建设工程造价咨询合同约定以外的与工程造价咨询项目有关的任何报酬。</w:t>
      </w:r>
    </w:p>
    <w:p w14:paraId="30E4C02C">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乙方不得参与可能与合同规定的与甲方利益相冲突的任何活动。</w:t>
      </w:r>
    </w:p>
    <w:p w14:paraId="4B385E76">
      <w:pPr>
        <w:spacing w:afterLines="0" w:line="360" w:lineRule="auto"/>
        <w:jc w:val="center"/>
        <w:rPr>
          <w:rFonts w:hint="eastAsia" w:ascii="微软雅黑" w:hAnsi="微软雅黑" w:eastAsia="微软雅黑" w:cs="微软雅黑"/>
          <w:b/>
          <w:color w:val="000000" w:themeColor="text1"/>
          <w:sz w:val="24"/>
          <w:szCs w:val="24"/>
          <w14:textFill>
            <w14:solidFill>
              <w14:schemeClr w14:val="tx1"/>
            </w14:solidFill>
          </w14:textFill>
        </w:rPr>
      </w:pPr>
      <w:bookmarkStart w:id="27" w:name="_Toc6131"/>
      <w:bookmarkStart w:id="28" w:name="_Toc21257"/>
      <w:r>
        <w:rPr>
          <w:rFonts w:hint="eastAsia" w:ascii="微软雅黑" w:hAnsi="微软雅黑" w:eastAsia="微软雅黑" w:cs="微软雅黑"/>
          <w:b/>
          <w:color w:val="000000" w:themeColor="text1"/>
          <w:sz w:val="24"/>
          <w:szCs w:val="24"/>
          <w14:textFill>
            <w14:solidFill>
              <w14:schemeClr w14:val="tx1"/>
            </w14:solidFill>
          </w14:textFill>
        </w:rPr>
        <w:t>合同争议的解决</w:t>
      </w:r>
      <w:bookmarkEnd w:id="27"/>
      <w:bookmarkEnd w:id="28"/>
    </w:p>
    <w:p w14:paraId="3CB4B120">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第三十二条</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凡因本合同引起的或与本合同有关的任何争议，均提交</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14:textFill>
            <w14:solidFill>
              <w14:schemeClr w14:val="tx1"/>
            </w14:solidFill>
          </w14:textFill>
        </w:rPr>
        <w:t>仲裁委员会，按照其届时有效的仲裁规则仲裁解决。仲裁裁决是终局的，对双方均有约束力。</w:t>
      </w:r>
    </w:p>
    <w:p w14:paraId="59597F46">
      <w:pPr>
        <w:pStyle w:val="2"/>
        <w:spacing w:afterLines="0" w:line="360" w:lineRule="auto"/>
        <w:ind w:firstLine="480" w:firstLineChars="200"/>
        <w:jc w:val="center"/>
        <w:rPr>
          <w:rFonts w:hint="eastAsia" w:ascii="微软雅黑" w:hAnsi="微软雅黑" w:eastAsia="微软雅黑" w:cs="微软雅黑"/>
          <w:b/>
          <w:color w:val="000000" w:themeColor="text1"/>
          <w:sz w:val="24"/>
          <w:szCs w:val="24"/>
          <w14:textFill>
            <w14:solidFill>
              <w14:schemeClr w14:val="tx1"/>
            </w14:solidFill>
          </w14:textFill>
        </w:rPr>
      </w:pPr>
      <w:bookmarkStart w:id="29" w:name="_Toc431395017"/>
      <w:bookmarkStart w:id="30" w:name="_Toc17940"/>
      <w:bookmarkStart w:id="31" w:name="_Toc445295746"/>
    </w:p>
    <w:p w14:paraId="4FB42559">
      <w:pPr>
        <w:pStyle w:val="2"/>
        <w:spacing w:afterLines="0" w:line="360" w:lineRule="auto"/>
        <w:ind w:firstLine="480" w:firstLineChars="200"/>
        <w:jc w:val="center"/>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第三部分建设工程造价咨询合同专用条件</w:t>
      </w:r>
      <w:bookmarkEnd w:id="29"/>
      <w:bookmarkEnd w:id="30"/>
      <w:bookmarkEnd w:id="31"/>
    </w:p>
    <w:p w14:paraId="0BAFBA91">
      <w:pPr>
        <w:numPr>
          <w:ilvl w:val="-1"/>
          <w:numId w:val="0"/>
        </w:numPr>
        <w:tabs>
          <w:tab w:val="left" w:pos="1800"/>
        </w:tabs>
        <w:adjustRightInd/>
        <w:snapToGrid/>
        <w:spacing w:afterLines="0" w:line="360" w:lineRule="auto"/>
        <w:ind w:left="0" w:leftChars="0"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bookmarkStart w:id="32" w:name="_Toc4468"/>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 xml:space="preserve">第一条 </w:t>
      </w:r>
      <w:r>
        <w:rPr>
          <w:rFonts w:hint="eastAsia" w:ascii="微软雅黑" w:hAnsi="微软雅黑" w:eastAsia="微软雅黑" w:cs="微软雅黑"/>
          <w:color w:val="000000" w:themeColor="text1"/>
          <w:sz w:val="24"/>
          <w:szCs w:val="24"/>
          <w14:textFill>
            <w14:solidFill>
              <w14:schemeClr w14:val="tx1"/>
            </w14:solidFill>
          </w14:textFill>
        </w:rPr>
        <w:t>本合同适用的法律、法规及工程造价计价办法和规定：现行相关法律法规文件</w:t>
      </w:r>
      <w:bookmarkEnd w:id="32"/>
    </w:p>
    <w:p w14:paraId="346026F0">
      <w:pPr>
        <w:adjustRightInd/>
        <w:snapToGrid/>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二</w:t>
      </w:r>
      <w:r>
        <w:rPr>
          <w:rFonts w:hint="eastAsia" w:ascii="微软雅黑" w:hAnsi="微软雅黑" w:eastAsia="微软雅黑" w:cs="微软雅黑"/>
          <w:b/>
          <w:bCs/>
          <w:color w:val="000000" w:themeColor="text1"/>
          <w:sz w:val="24"/>
          <w:szCs w:val="24"/>
          <w14:textFill>
            <w14:solidFill>
              <w14:schemeClr w14:val="tx1"/>
            </w14:solidFill>
          </w14:textFill>
        </w:rPr>
        <w:t>条</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甲方应在</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日内对乙方要求做出答复的事宜提交书面答复，甲方没有书面答复前，不视为甲方对乙方申请内容的认可。</w:t>
      </w:r>
    </w:p>
    <w:p w14:paraId="26FF21BD">
      <w:pPr>
        <w:adjustRightInd/>
        <w:snapToGrid/>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三</w:t>
      </w:r>
      <w:r>
        <w:rPr>
          <w:rFonts w:hint="eastAsia" w:ascii="微软雅黑" w:hAnsi="微软雅黑" w:eastAsia="微软雅黑" w:cs="微软雅黑"/>
          <w:b/>
          <w:bCs/>
          <w:color w:val="000000" w:themeColor="text1"/>
          <w:sz w:val="24"/>
          <w:szCs w:val="24"/>
          <w14:textFill>
            <w14:solidFill>
              <w14:schemeClr w14:val="tx1"/>
            </w14:solidFill>
          </w14:textFill>
        </w:rPr>
        <w:t>条</w:t>
      </w:r>
      <w:r>
        <w:rPr>
          <w:rFonts w:hint="eastAsia" w:ascii="微软雅黑" w:hAnsi="微软雅黑" w:eastAsia="微软雅黑" w:cs="微软雅黑"/>
          <w:color w:val="000000" w:themeColor="text1"/>
          <w:sz w:val="24"/>
          <w:szCs w:val="24"/>
          <w14:textFill>
            <w14:solidFill>
              <w14:schemeClr w14:val="tx1"/>
            </w14:solidFill>
          </w14:textFill>
        </w:rPr>
        <w:t xml:space="preserve"> 乙方应在规定的时限内完成造价咨询工作，具体时限要求如下：</w:t>
      </w:r>
    </w:p>
    <w:p w14:paraId="1111B2B1">
      <w:pPr>
        <w:adjustRightInd/>
        <w:snapToGrid/>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1.工程量清单及拦标价编制在甲方下达任务书之日起</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个日历天内完成；</w:t>
      </w:r>
    </w:p>
    <w:p w14:paraId="2EB96442">
      <w:pPr>
        <w:adjustRightInd/>
        <w:snapToGrid/>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2.工程台帐审核在甲方下达任务书</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个日历天内完成；</w:t>
      </w:r>
    </w:p>
    <w:p w14:paraId="2C057215">
      <w:pPr>
        <w:adjustRightInd/>
        <w:snapToGrid/>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3.工程计量及进度款审核在收到计量及支付报表后</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个日历天内完成；</w:t>
      </w:r>
    </w:p>
    <w:p w14:paraId="0980FEC1">
      <w:pPr>
        <w:adjustRightInd/>
        <w:snapToGrid/>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4.新增单价审核及有关造价咨询意见在甲方下达任务书</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个日历天内完成；</w:t>
      </w:r>
    </w:p>
    <w:p w14:paraId="5D37C416">
      <w:pPr>
        <w:adjustRightInd/>
        <w:snapToGrid/>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5.工程变更的量价审核在甲方下达任务书</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个日历天内完成。</w:t>
      </w:r>
    </w:p>
    <w:p w14:paraId="01193ACC">
      <w:pPr>
        <w:adjustRightInd/>
        <w:snapToGrid/>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6.如遇重大或特殊情况，具体工作完成时限以招标人下达的任务书为准。</w:t>
      </w:r>
    </w:p>
    <w:p w14:paraId="486EAF1B">
      <w:pPr>
        <w:adjustRightInd/>
        <w:snapToGrid/>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7.竣工结算审核在工程竣工验收合格且施工承包人报送竣工结算报告和完整的竣工结算资料送达之日起</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个日历天。</w:t>
      </w:r>
    </w:p>
    <w:p w14:paraId="333BC6A4">
      <w:pPr>
        <w:adjustRightInd/>
        <w:snapToGrid/>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上述时限除甲方书面同意和不可抗力（仅限于严重自然灾害、战争、动乱、政府行政行为）外，不予顺延。发生上述情形需要顺延的，乙方在</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日内向甲方提出书面申请，经甲方同意后期限相应顺延；逾期未提出的，视为乙方不需要顺延。</w:t>
      </w:r>
    </w:p>
    <w:p w14:paraId="4A8B317F">
      <w:pPr>
        <w:adjustRightInd/>
        <w:snapToGrid/>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第四条</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乙方在其责任期内如果失职，同意按以下办法承担因单方责任而造成的经济损失。</w:t>
      </w:r>
    </w:p>
    <w:p w14:paraId="059185C4">
      <w:pPr>
        <w:adjustRightInd/>
        <w:snapToGrid/>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1.逾期违约金：超过合同规定的编制周期提交成果或完成本合同约定的其他工作的，每逾期一天，违约金为</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元，累计计算；逾期超过7日，甲方有权选择单方解除本合同。</w:t>
      </w:r>
    </w:p>
    <w:p w14:paraId="518297AA">
      <w:pPr>
        <w:adjustRightInd/>
        <w:snapToGrid/>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2.造价成果质量违约金：</w:t>
      </w:r>
    </w:p>
    <w:p w14:paraId="0698361B">
      <w:pPr>
        <w:adjustRightInd/>
        <w:snapToGrid/>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（1）若乙方提供的工程量清单及拦标价编制出现重大偏差，处以合同价款</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%的违约金；</w:t>
      </w:r>
    </w:p>
    <w:p w14:paraId="008C1FE2">
      <w:pPr>
        <w:adjustRightInd/>
        <w:snapToGrid/>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（2）若乙方提供的工程量清单及拦标价编制出现缺项、漏项：每出现一次，违约金为</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w:t>
      </w:r>
    </w:p>
    <w:p w14:paraId="43A2CA88">
      <w:pPr>
        <w:adjustRightInd/>
        <w:snapToGrid/>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（3）若因为招标人及投标人对于工程量清单及拦标价编制提出的质疑，经复核造价成果确有问题，导致开标延期的，每逾期一天，违约金为</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w:t>
      </w:r>
    </w:p>
    <w:p w14:paraId="6CCFD3CC">
      <w:pPr>
        <w:adjustRightInd/>
        <w:snapToGrid/>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（4）若乙方对工程计量及进度款审核未在规定的时间内提交审核意见：每逾期一天，违约金为</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w:t>
      </w:r>
    </w:p>
    <w:p w14:paraId="5CF25FBA">
      <w:pPr>
        <w:adjustRightInd/>
        <w:snapToGrid/>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（5）新增单价审核未在甲方下达任务书5个日历天内完成：每逾期一天，违约金为</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w:t>
      </w:r>
    </w:p>
    <w:p w14:paraId="37B1C41A">
      <w:pPr>
        <w:adjustRightInd/>
        <w:snapToGrid/>
        <w:spacing w:afterLines="0" w:line="360" w:lineRule="auto"/>
        <w:ind w:firstLine="480" w:firstLineChars="200"/>
        <w:jc w:val="both"/>
        <w:rPr>
          <w:rFonts w:hint="eastAsia" w:ascii="微软雅黑" w:hAnsi="微软雅黑" w:eastAsia="微软雅黑" w:cs="微软雅黑"/>
          <w:color w:val="000000" w:themeColor="text1"/>
          <w:sz w:val="24"/>
          <w:szCs w:val="24"/>
          <w:u w:val="single"/>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（6）单项竣工结算审计偏差按如下原则办理：</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58585293">
      <w:pPr>
        <w:adjustRightInd/>
        <w:snapToGrid/>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发生上述情形的，乙方还需在甲方指定时间内整改，逾期未整改或经整改后仍不合格的，甲方有权选择单方解除本合同。</w:t>
      </w:r>
    </w:p>
    <w:p w14:paraId="056F912C">
      <w:pPr>
        <w:adjustRightInd/>
        <w:snapToGrid/>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w:t>
      </w:r>
      <w:r>
        <w:rPr>
          <w:rFonts w:hint="eastAsia" w:ascii="微软雅黑" w:hAnsi="微软雅黑" w:eastAsia="微软雅黑" w:cs="微软雅黑"/>
          <w:bCs/>
          <w:color w:val="000000" w:themeColor="text1"/>
          <w:sz w:val="24"/>
          <w:szCs w:val="24"/>
          <w14:textFill>
            <w14:solidFill>
              <w14:schemeClr w14:val="tx1"/>
            </w14:solidFill>
          </w14:textFill>
        </w:rPr>
        <w:t>乙方违反本合同约定，除了应当支付违约金外，还应当赔偿给甲方造成的全部损失，包括但不限于直接损失、预期利益损失、甲方向第三人支付的违约金、赔偿金及甲方为索赔而支出的全部费用</w:t>
      </w:r>
      <w:r>
        <w:rPr>
          <w:rFonts w:hint="eastAsia" w:ascii="微软雅黑" w:hAnsi="微软雅黑" w:eastAsia="微软雅黑" w:cs="微软雅黑"/>
          <w:color w:val="000000" w:themeColor="text1"/>
          <w:sz w:val="24"/>
          <w:szCs w:val="24"/>
          <w14:textFill>
            <w14:solidFill>
              <w14:schemeClr w14:val="tx1"/>
            </w14:solidFill>
          </w14:textFill>
        </w:rPr>
        <w:t>，累计赔偿总额不以建设工程造价咨询酬金总额为限。</w:t>
      </w:r>
    </w:p>
    <w:p w14:paraId="0D86A2ED">
      <w:pPr>
        <w:adjustRightInd/>
        <w:snapToGrid/>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五</w:t>
      </w:r>
      <w:r>
        <w:rPr>
          <w:rFonts w:hint="eastAsia" w:ascii="微软雅黑" w:hAnsi="微软雅黑" w:eastAsia="微软雅黑" w:cs="微软雅黑"/>
          <w:b/>
          <w:bCs/>
          <w:color w:val="000000" w:themeColor="text1"/>
          <w:sz w:val="24"/>
          <w:szCs w:val="24"/>
          <w14:textFill>
            <w14:solidFill>
              <w14:schemeClr w14:val="tx1"/>
            </w14:solidFill>
          </w14:textFill>
        </w:rPr>
        <w:t>条</w:t>
      </w:r>
      <w:r>
        <w:rPr>
          <w:rFonts w:hint="eastAsia" w:ascii="微软雅黑" w:hAnsi="微软雅黑" w:eastAsia="微软雅黑" w:cs="微软雅黑"/>
          <w:color w:val="000000" w:themeColor="text1"/>
          <w:sz w:val="24"/>
          <w:szCs w:val="24"/>
          <w14:textFill>
            <w14:solidFill>
              <w14:schemeClr w14:val="tx1"/>
            </w14:solidFill>
          </w14:textFill>
        </w:rPr>
        <w:t xml:space="preserve"> 甲方同意按以下的计算方法、支付时间与金额，支付乙方的正常服务酬金：</w:t>
      </w:r>
    </w:p>
    <w:p w14:paraId="2C4105E8">
      <w:pPr>
        <w:adjustRightInd/>
        <w:snapToGrid/>
        <w:spacing w:afterLines="0" w:line="360" w:lineRule="auto"/>
        <w:ind w:firstLine="480" w:firstLineChars="200"/>
        <w:jc w:val="both"/>
        <w:rPr>
          <w:rFonts w:hint="eastAsia" w:ascii="微软雅黑" w:hAnsi="微软雅黑" w:eastAsia="微软雅黑" w:cs="微软雅黑"/>
          <w:bCs/>
          <w:color w:val="000000" w:themeColor="text1"/>
          <w:sz w:val="24"/>
          <w:szCs w:val="24"/>
          <w:u w:val="single"/>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1.工程量清单及拦标价的编制：</w:t>
      </w:r>
      <w:r>
        <w:rPr>
          <w:rFonts w:hint="eastAsia" w:ascii="微软雅黑" w:hAnsi="微软雅黑" w:eastAsia="微软雅黑" w:cs="微软雅黑"/>
          <w:bCs/>
          <w:color w:val="000000" w:themeColor="text1"/>
          <w:sz w:val="24"/>
          <w:szCs w:val="24"/>
          <w:u w:val="single"/>
          <w14:textFill>
            <w14:solidFill>
              <w14:schemeClr w14:val="tx1"/>
            </w14:solidFill>
          </w14:textFill>
        </w:rPr>
        <w:t xml:space="preserve">               </w:t>
      </w:r>
    </w:p>
    <w:p w14:paraId="49108946">
      <w:pPr>
        <w:adjustRightInd/>
        <w:snapToGrid/>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支付时间：工程量清单及拦标价经相关部门评审合格、资料归档后10日内支付该项目服务费。</w:t>
      </w:r>
    </w:p>
    <w:p w14:paraId="1336DFDA">
      <w:pPr>
        <w:adjustRightInd/>
        <w:snapToGrid/>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2.施工阶段全过程造价控制：</w:t>
      </w:r>
      <w:r>
        <w:rPr>
          <w:rFonts w:hint="eastAsia" w:ascii="微软雅黑" w:hAnsi="微软雅黑" w:eastAsia="微软雅黑" w:cs="微软雅黑"/>
          <w:bCs/>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w:t>
      </w:r>
    </w:p>
    <w:p w14:paraId="3009A636">
      <w:pPr>
        <w:adjustRightInd/>
        <w:snapToGrid/>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支付时间：根据施工单位进度款实际支付金额按季度计算并支付施工阶段全过程造价控制咨询服务费，审计完成、资料归档后10日内按最终审计定案金额计算并支付剩余尾款。</w:t>
      </w:r>
    </w:p>
    <w:p w14:paraId="643009B9">
      <w:pPr>
        <w:adjustRightInd/>
        <w:snapToGrid/>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（3）工程结算审核：</w:t>
      </w:r>
      <w:r>
        <w:rPr>
          <w:rFonts w:hint="eastAsia" w:ascii="微软雅黑" w:hAnsi="微软雅黑" w:eastAsia="微软雅黑" w:cs="微软雅黑"/>
          <w:bCs/>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w:t>
      </w:r>
    </w:p>
    <w:p w14:paraId="471584A6">
      <w:pPr>
        <w:adjustRightInd/>
        <w:snapToGrid/>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支付时间：工程结算审核完成后支付此部分咨询服务费的</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%，审计完成、资料归档后10日内按最终审计定案金额计算并支付剩余尾款。</w:t>
      </w:r>
    </w:p>
    <w:p w14:paraId="3DE4F5DF">
      <w:pPr>
        <w:adjustRightInd/>
        <w:snapToGrid/>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以上为含税价，乙方收款前应向甲方出具准确无误且合法有效的发票，否则甲方付款期顺延。</w:t>
      </w:r>
    </w:p>
    <w:p w14:paraId="6AE0DCC3">
      <w:pPr>
        <w:adjustRightInd/>
        <w:snapToGrid/>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xml:space="preserve">第六条 </w:t>
      </w:r>
      <w:r>
        <w:rPr>
          <w:rFonts w:hint="eastAsia" w:ascii="微软雅黑" w:hAnsi="微软雅黑" w:eastAsia="微软雅黑" w:cs="微软雅黑"/>
          <w:color w:val="000000" w:themeColor="text1"/>
          <w:sz w:val="24"/>
          <w:szCs w:val="24"/>
          <w14:textFill>
            <w14:solidFill>
              <w14:schemeClr w14:val="tx1"/>
            </w14:solidFill>
          </w14:textFill>
        </w:rPr>
        <w:t>甲方对乙方申请支付的酬金项目及金额有异议时，双方协商解决，在双方协商一致前，甲方有权暂停支付酬金。</w:t>
      </w:r>
    </w:p>
    <w:p w14:paraId="52F39EFB">
      <w:pPr>
        <w:adjustRightInd/>
        <w:snapToGrid/>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第七条</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双方同意用人民币支付酬金。</w:t>
      </w:r>
    </w:p>
    <w:p w14:paraId="3F5500D4">
      <w:pPr>
        <w:adjustRightInd/>
        <w:snapToGrid/>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bookmarkStart w:id="33" w:name="_Toc7807"/>
      <w:r>
        <w:rPr>
          <w:rFonts w:hint="eastAsia" w:ascii="微软雅黑" w:hAnsi="微软雅黑" w:eastAsia="微软雅黑" w:cs="微软雅黑"/>
          <w:b/>
          <w:bCs/>
          <w:color w:val="000000" w:themeColor="text1"/>
          <w:sz w:val="24"/>
          <w:szCs w:val="24"/>
          <w14:textFill>
            <w14:solidFill>
              <w14:schemeClr w14:val="tx1"/>
            </w14:solidFill>
          </w14:textFill>
        </w:rPr>
        <w:t>第</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八</w:t>
      </w:r>
      <w:r>
        <w:rPr>
          <w:rFonts w:hint="eastAsia" w:ascii="微软雅黑" w:hAnsi="微软雅黑" w:eastAsia="微软雅黑" w:cs="微软雅黑"/>
          <w:b/>
          <w:bCs/>
          <w:color w:val="000000" w:themeColor="text1"/>
          <w:sz w:val="24"/>
          <w:szCs w:val="24"/>
          <w14:textFill>
            <w14:solidFill>
              <w14:schemeClr w14:val="tx1"/>
            </w14:solidFill>
          </w14:textFill>
        </w:rPr>
        <w:t xml:space="preserve">条 </w:t>
      </w:r>
      <w:r>
        <w:rPr>
          <w:rFonts w:hint="eastAsia" w:ascii="微软雅黑" w:hAnsi="微软雅黑" w:eastAsia="微软雅黑" w:cs="微软雅黑"/>
          <w:color w:val="000000" w:themeColor="text1"/>
          <w:sz w:val="24"/>
          <w:szCs w:val="24"/>
          <w14:textFill>
            <w14:solidFill>
              <w14:schemeClr w14:val="tx1"/>
            </w14:solidFill>
          </w14:textFill>
        </w:rPr>
        <w:t>乙方如需外聘专家协助，其所需费用均由乙方自行承担。</w:t>
      </w:r>
      <w:bookmarkEnd w:id="33"/>
    </w:p>
    <w:p w14:paraId="349E411A">
      <w:pPr>
        <w:adjustRightInd/>
        <w:snapToGrid/>
        <w:spacing w:afterLines="0" w:line="360" w:lineRule="auto"/>
        <w:ind w:firstLine="480" w:firstLineChars="200"/>
        <w:jc w:val="both"/>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九</w:t>
      </w:r>
      <w:r>
        <w:rPr>
          <w:rFonts w:hint="eastAsia" w:ascii="微软雅黑" w:hAnsi="微软雅黑" w:eastAsia="微软雅黑" w:cs="微软雅黑"/>
          <w:b/>
          <w:bCs/>
          <w:color w:val="000000" w:themeColor="text1"/>
          <w:sz w:val="24"/>
          <w:szCs w:val="24"/>
          <w14:textFill>
            <w14:solidFill>
              <w14:schemeClr w14:val="tx1"/>
            </w14:solidFill>
          </w14:textFill>
        </w:rPr>
        <w:t>条</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bCs/>
          <w:color w:val="000000" w:themeColor="text1"/>
          <w:sz w:val="24"/>
          <w:szCs w:val="24"/>
          <w14:textFill>
            <w14:solidFill>
              <w14:schemeClr w14:val="tx1"/>
            </w14:solidFill>
          </w14:textFill>
        </w:rPr>
        <w:t>本合同发生争议，发包人、乙方应及时协商解决，协商不成时，发包人、乙方可向项目所在地人民法院起拆。</w:t>
      </w:r>
    </w:p>
    <w:p w14:paraId="2A093EBD">
      <w:pPr>
        <w:adjustRightInd/>
        <w:snapToGrid/>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bookmarkStart w:id="34" w:name="_Toc20357"/>
      <w:bookmarkStart w:id="35" w:name="_Toc6281"/>
      <w:r>
        <w:rPr>
          <w:rFonts w:hint="eastAsia" w:ascii="微软雅黑" w:hAnsi="微软雅黑" w:eastAsia="微软雅黑" w:cs="微软雅黑"/>
          <w:b/>
          <w:bCs/>
          <w:color w:val="000000" w:themeColor="text1"/>
          <w:sz w:val="24"/>
          <w:szCs w:val="24"/>
          <w14:textFill>
            <w14:solidFill>
              <w14:schemeClr w14:val="tx1"/>
            </w14:solidFill>
          </w14:textFill>
        </w:rPr>
        <w:t>第十条</w:t>
      </w:r>
      <w:r>
        <w:rPr>
          <w:rFonts w:hint="eastAsia" w:ascii="微软雅黑" w:hAnsi="微软雅黑" w:eastAsia="微软雅黑" w:cs="微软雅黑"/>
          <w:color w:val="000000" w:themeColor="text1"/>
          <w:sz w:val="24"/>
          <w:szCs w:val="24"/>
          <w14:textFill>
            <w14:solidFill>
              <w14:schemeClr w14:val="tx1"/>
            </w14:solidFill>
          </w14:textFill>
        </w:rPr>
        <w:t xml:space="preserve"> 免责条款</w:t>
      </w:r>
    </w:p>
    <w:p w14:paraId="55041216">
      <w:pPr>
        <w:keepNext w:val="0"/>
        <w:keepLines w:val="0"/>
        <w:widowControl w:val="0"/>
        <w:suppressLineNumbers w:val="0"/>
        <w:autoSpaceDE w:val="0"/>
        <w:autoSpaceDN w:val="0"/>
        <w:spacing w:before="0" w:beforeAutospacing="0" w:after="0" w:afterLines="0" w:afterAutospacing="0" w:line="360" w:lineRule="auto"/>
        <w:ind w:left="0" w:right="0" w:firstLine="480" w:firstLineChars="200"/>
        <w:jc w:val="both"/>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09479A5F">
      <w:pPr>
        <w:keepNext w:val="0"/>
        <w:keepLines w:val="0"/>
        <w:widowControl w:val="0"/>
        <w:suppressLineNumbers w:val="0"/>
        <w:autoSpaceDE w:val="0"/>
        <w:autoSpaceDN w:val="0"/>
        <w:spacing w:before="0" w:beforeAutospacing="0" w:after="0" w:afterLines="0" w:afterAutospacing="0" w:line="360" w:lineRule="auto"/>
        <w:ind w:left="0" w:righ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2．当出现双方在订立合同时无法预见的、不属于商业风险的重大变化，双方不能协商变更合同导致合同解除的，双方互不承担违约责任。</w:t>
      </w:r>
    </w:p>
    <w:p w14:paraId="40611BB8">
      <w:pPr>
        <w:widowControl w:val="0"/>
        <w:numPr>
          <w:ilvl w:val="-1"/>
          <w:numId w:val="0"/>
        </w:numPr>
        <w:tabs>
          <w:tab w:val="left" w:pos="0"/>
          <w:tab w:val="left" w:pos="2800"/>
        </w:tabs>
        <w:spacing w:afterLines="0" w:line="360" w:lineRule="auto"/>
        <w:ind w:leftChars="0"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3．因治安管理案件或刑事犯罪案件，包括但不限于故意伤害、爆炸、偷盗、抢劫等导致人身伤害或财产损失的，由行为人承担责任</w:t>
      </w:r>
      <w:r>
        <w:rPr>
          <w:rFonts w:hint="eastAsia" w:ascii="微软雅黑" w:hAnsi="微软雅黑" w:eastAsia="微软雅黑" w:cs="微软雅黑"/>
          <w:color w:val="000000" w:themeColor="text1"/>
          <w:sz w:val="24"/>
          <w:szCs w:val="24"/>
          <w14:textFill>
            <w14:solidFill>
              <w14:schemeClr w14:val="tx1"/>
            </w14:solidFill>
          </w14:textFill>
        </w:rPr>
        <w:t>。</w:t>
      </w:r>
    </w:p>
    <w:p w14:paraId="7B3F775F">
      <w:pPr>
        <w:adjustRightInd/>
        <w:snapToGrid/>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十一</w:t>
      </w:r>
      <w:r>
        <w:rPr>
          <w:rFonts w:hint="eastAsia" w:ascii="微软雅黑" w:hAnsi="微软雅黑" w:eastAsia="微软雅黑" w:cs="微软雅黑"/>
          <w:b/>
          <w:bCs/>
          <w:color w:val="000000" w:themeColor="text1"/>
          <w:sz w:val="24"/>
          <w:szCs w:val="24"/>
          <w14:textFill>
            <w14:solidFill>
              <w14:schemeClr w14:val="tx1"/>
            </w14:solidFill>
          </w14:textFill>
        </w:rPr>
        <w:t>条</w:t>
      </w:r>
      <w:r>
        <w:rPr>
          <w:rFonts w:hint="eastAsia" w:ascii="微软雅黑" w:hAnsi="微软雅黑" w:eastAsia="微软雅黑" w:cs="微软雅黑"/>
          <w:color w:val="000000" w:themeColor="text1"/>
          <w:sz w:val="24"/>
          <w:szCs w:val="24"/>
          <w14:textFill>
            <w14:solidFill>
              <w14:schemeClr w14:val="tx1"/>
            </w14:solidFill>
          </w14:textFill>
        </w:rPr>
        <w:t xml:space="preserve"> 特别约定</w:t>
      </w:r>
      <w:bookmarkEnd w:id="34"/>
      <w:bookmarkEnd w:id="35"/>
    </w:p>
    <w:p w14:paraId="1EFD5767">
      <w:pPr>
        <w:adjustRightInd/>
        <w:snapToGrid/>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bookmarkStart w:id="36" w:name="_Toc15063"/>
      <w:r>
        <w:rPr>
          <w:rFonts w:hint="eastAsia" w:ascii="微软雅黑" w:hAnsi="微软雅黑" w:eastAsia="微软雅黑" w:cs="微软雅黑"/>
          <w:color w:val="000000" w:themeColor="text1"/>
          <w:sz w:val="24"/>
          <w:szCs w:val="24"/>
          <w14:textFill>
            <w14:solidFill>
              <w14:schemeClr w14:val="tx1"/>
            </w14:solidFill>
          </w14:textFill>
        </w:rPr>
        <w:t>1</w:t>
      </w:r>
      <w:bookmarkEnd w:id="36"/>
      <w:r>
        <w:rPr>
          <w:rFonts w:hint="eastAsia" w:ascii="微软雅黑" w:hAnsi="微软雅黑" w:eastAsia="微软雅黑" w:cs="微软雅黑"/>
          <w:color w:val="000000" w:themeColor="text1"/>
          <w:sz w:val="24"/>
          <w:szCs w:val="24"/>
          <w14:textFill>
            <w14:solidFill>
              <w14:schemeClr w14:val="tx1"/>
            </w14:solidFill>
          </w14:textFill>
        </w:rPr>
        <w:t>.</w:t>
      </w:r>
    </w:p>
    <w:p w14:paraId="3A507C22">
      <w:pPr>
        <w:adjustRightInd/>
        <w:snapToGrid/>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bookmarkStart w:id="37" w:name="_Toc1755"/>
      <w:r>
        <w:rPr>
          <w:rFonts w:hint="eastAsia" w:ascii="微软雅黑" w:hAnsi="微软雅黑" w:eastAsia="微软雅黑" w:cs="微软雅黑"/>
          <w:color w:val="000000" w:themeColor="text1"/>
          <w:sz w:val="24"/>
          <w:szCs w:val="24"/>
          <w14:textFill>
            <w14:solidFill>
              <w14:schemeClr w14:val="tx1"/>
            </w14:solidFill>
          </w14:textFill>
        </w:rPr>
        <w:t>2</w:t>
      </w:r>
      <w:bookmarkEnd w:id="37"/>
      <w:r>
        <w:rPr>
          <w:rFonts w:hint="eastAsia" w:ascii="微软雅黑" w:hAnsi="微软雅黑" w:eastAsia="微软雅黑" w:cs="微软雅黑"/>
          <w:color w:val="000000" w:themeColor="text1"/>
          <w:sz w:val="24"/>
          <w:szCs w:val="24"/>
          <w14:textFill>
            <w14:solidFill>
              <w14:schemeClr w14:val="tx1"/>
            </w14:solidFill>
          </w14:textFill>
        </w:rPr>
        <w:t>.</w:t>
      </w:r>
    </w:p>
    <w:p w14:paraId="6193B95B">
      <w:pPr>
        <w:adjustRightInd/>
        <w:snapToGrid/>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bookmarkStart w:id="38" w:name="_Toc7543"/>
      <w:r>
        <w:rPr>
          <w:rFonts w:hint="eastAsia" w:ascii="微软雅黑" w:hAnsi="微软雅黑" w:eastAsia="微软雅黑" w:cs="微软雅黑"/>
          <w:color w:val="000000" w:themeColor="text1"/>
          <w:sz w:val="24"/>
          <w:szCs w:val="24"/>
          <w14:textFill>
            <w14:solidFill>
              <w14:schemeClr w14:val="tx1"/>
            </w14:solidFill>
          </w14:textFill>
        </w:rPr>
        <w:t>3</w:t>
      </w:r>
      <w:bookmarkEnd w:id="38"/>
      <w:r>
        <w:rPr>
          <w:rFonts w:hint="eastAsia" w:ascii="微软雅黑" w:hAnsi="微软雅黑" w:eastAsia="微软雅黑" w:cs="微软雅黑"/>
          <w:color w:val="000000" w:themeColor="text1"/>
          <w:sz w:val="24"/>
          <w:szCs w:val="24"/>
          <w14:textFill>
            <w14:solidFill>
              <w14:schemeClr w14:val="tx1"/>
            </w14:solidFill>
          </w14:textFill>
        </w:rPr>
        <w:t>.</w:t>
      </w:r>
    </w:p>
    <w:p w14:paraId="62D25110">
      <w:pPr>
        <w:adjustRightInd/>
        <w:snapToGrid/>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bookmarkStart w:id="39" w:name="_Toc23416"/>
      <w:bookmarkStart w:id="40" w:name="_Toc28513"/>
      <w:r>
        <w:rPr>
          <w:rFonts w:hint="eastAsia" w:ascii="微软雅黑" w:hAnsi="微软雅黑" w:eastAsia="微软雅黑" w:cs="微软雅黑"/>
          <w:b/>
          <w:bCs/>
          <w:color w:val="000000" w:themeColor="text1"/>
          <w:sz w:val="24"/>
          <w:szCs w:val="24"/>
          <w14:textFill>
            <w14:solidFill>
              <w14:schemeClr w14:val="tx1"/>
            </w14:solidFill>
          </w14:textFill>
        </w:rPr>
        <w:t>第</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十二</w:t>
      </w:r>
      <w:r>
        <w:rPr>
          <w:rFonts w:hint="eastAsia" w:ascii="微软雅黑" w:hAnsi="微软雅黑" w:eastAsia="微软雅黑" w:cs="微软雅黑"/>
          <w:b/>
          <w:bCs/>
          <w:color w:val="000000" w:themeColor="text1"/>
          <w:sz w:val="24"/>
          <w:szCs w:val="24"/>
          <w14:textFill>
            <w14:solidFill>
              <w14:schemeClr w14:val="tx1"/>
            </w14:solidFill>
          </w14:textFill>
        </w:rPr>
        <w:t>条</w:t>
      </w:r>
      <w:r>
        <w:rPr>
          <w:rFonts w:hint="eastAsia" w:ascii="微软雅黑" w:hAnsi="微软雅黑" w:eastAsia="微软雅黑" w:cs="微软雅黑"/>
          <w:color w:val="000000" w:themeColor="text1"/>
          <w:sz w:val="24"/>
          <w:szCs w:val="24"/>
          <w14:textFill>
            <w14:solidFill>
              <w14:schemeClr w14:val="tx1"/>
            </w14:solidFill>
          </w14:textFill>
        </w:rPr>
        <w:t xml:space="preserve"> 其他约定</w:t>
      </w:r>
      <w:bookmarkEnd w:id="39"/>
      <w:bookmarkEnd w:id="40"/>
    </w:p>
    <w:p w14:paraId="644F543A">
      <w:pPr>
        <w:adjustRightInd/>
        <w:snapToGrid/>
        <w:spacing w:afterLines="0" w:line="360" w:lineRule="auto"/>
        <w:ind w:firstLine="480" w:firstLineChars="200"/>
        <w:jc w:val="both"/>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1.乙方应在收到甲方提供的资料后当日内进行审核，如果资料不完整的，应在当日内书面通知甲方，并详细列明需要补充的资料名称及内容；如乙方逾期未书面通知甲方的，视为甲方已经提交完整的资料。</w:t>
      </w:r>
    </w:p>
    <w:p w14:paraId="2B98469C">
      <w:pPr>
        <w:adjustRightInd/>
        <w:snapToGrid/>
        <w:spacing w:afterLines="0" w:line="360" w:lineRule="auto"/>
        <w:ind w:firstLine="480" w:firstLineChars="200"/>
        <w:jc w:val="both"/>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2.乙方应妥善保管甲方提交的各种文件、数据、图纸等资料，并对合同履行过程中知悉的甲方信息进行保密，在合同履行完毕或提前终止日内，返还上述资料或根据甲方的要求销毁。未经甲方书面同意，不得将上述资料或信息以任何方式向第三人透露或用于本合同目的以外的用途，此约定义务不因合同的终止而解除。乙方违反本条约定的，应向甲方支付</w:t>
      </w:r>
      <w:r>
        <w:rPr>
          <w:rFonts w:hint="eastAsia" w:ascii="微软雅黑" w:hAnsi="微软雅黑" w:eastAsia="微软雅黑" w:cs="微软雅黑"/>
          <w:bCs/>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bCs/>
          <w:color w:val="000000" w:themeColor="text1"/>
          <w:sz w:val="24"/>
          <w:szCs w:val="24"/>
          <w14:textFill>
            <w14:solidFill>
              <w14:schemeClr w14:val="tx1"/>
            </w14:solidFill>
          </w14:textFill>
        </w:rPr>
        <w:t>元违约金，并赔偿由此给甲方造成的全部损失。</w:t>
      </w:r>
    </w:p>
    <w:p w14:paraId="7966BE08">
      <w:pPr>
        <w:adjustRightInd/>
        <w:snapToGrid/>
        <w:spacing w:afterLines="0" w:line="360" w:lineRule="auto"/>
        <w:ind w:firstLine="480" w:firstLineChars="200"/>
        <w:jc w:val="both"/>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3.本合同签订后，乙方不得擅自将本合同约定义务转让给第三人，否则应对第三人完成的成果承担连带责任，同时甲方有权选择单方解除本合同并要求乙方支付本合同总价款20%的违约金。</w:t>
      </w:r>
    </w:p>
    <w:p w14:paraId="5E888197">
      <w:pPr>
        <w:adjustRightInd/>
        <w:snapToGrid/>
        <w:spacing w:afterLines="0" w:line="360" w:lineRule="auto"/>
        <w:ind w:firstLine="480" w:firstLineChars="200"/>
        <w:jc w:val="both"/>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4.乙方未经甲方书面同意擅自解除本合同的，应向甲方支付本合同总金额20%的违约金，退还甲方已支付的全部费用并赔偿由此给甲方造成的全部损失。</w:t>
      </w:r>
    </w:p>
    <w:p w14:paraId="750844BC">
      <w:pPr>
        <w:adjustRightInd/>
        <w:snapToGrid/>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5.</w:t>
      </w:r>
      <w:r>
        <w:rPr>
          <w:rFonts w:hint="eastAsia" w:ascii="微软雅黑" w:hAnsi="微软雅黑" w:eastAsia="微软雅黑" w:cs="微软雅黑"/>
          <w:color w:val="000000" w:themeColor="text1"/>
          <w:sz w:val="24"/>
          <w:szCs w:val="24"/>
          <w14:textFill>
            <w14:solidFill>
              <w14:schemeClr w14:val="tx1"/>
            </w14:solidFill>
          </w14:textFill>
        </w:rPr>
        <w:t>乙方如需要到项目现场进行勘验检查的，应该提前3日通知甲方，进入现场后，乙方应当遵守甲方施工现场的管理规定，注意自身和他人的人身财产安全，否则，现场勘查期间发生安全事故的，乙方承担全部责任，赔偿由此给甲方、第三人造成的全部损失。</w:t>
      </w:r>
    </w:p>
    <w:p w14:paraId="5DDEA80F">
      <w:pPr>
        <w:adjustRightInd/>
        <w:snapToGrid/>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6.乙方必须确保服务质量，乙方提交的造价咨询成果或其他技术性文件不符合甲方要求的，乙方应当在甲方指定的期限内无条件整改至合格，因此增加的费用由乙方承担，乙方拒绝整改或整改后仍不符合要求的，甲方有权解除合同，由此造成的损失由乙方承担。</w:t>
      </w:r>
    </w:p>
    <w:p w14:paraId="6C943AC2">
      <w:pPr>
        <w:adjustRightInd/>
        <w:snapToGrid/>
        <w:spacing w:afterLines="0" w:line="360" w:lineRule="auto"/>
        <w:ind w:firstLine="480" w:firstLineChars="200"/>
        <w:jc w:val="both"/>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7.甲方按本合同约定选择解除合同的，</w:t>
      </w:r>
      <w:r>
        <w:rPr>
          <w:rFonts w:hint="eastAsia" w:ascii="微软雅黑" w:hAnsi="微软雅黑" w:eastAsia="微软雅黑" w:cs="微软雅黑"/>
          <w:color w:val="000000" w:themeColor="text1"/>
          <w:sz w:val="24"/>
          <w:szCs w:val="24"/>
          <w:lang w:val="en-US" w:eastAsia="zh-Hans"/>
          <w14:textFill>
            <w14:solidFill>
              <w14:schemeClr w14:val="tx1"/>
            </w14:solidFill>
          </w14:textFill>
        </w:rPr>
        <w:t>自甲方的书面通知到达乙方之日合同解除，乙方对合同解除有异议的，可以向人民法院或者仲裁机构确认解除的效力。甲方也可以直接向人民法院提起解除合同之诉</w:t>
      </w:r>
      <w:r>
        <w:rPr>
          <w:rFonts w:hint="eastAsia" w:ascii="微软雅黑" w:hAnsi="微软雅黑" w:eastAsia="微软雅黑" w:cs="微软雅黑"/>
          <w:bCs/>
          <w:color w:val="000000" w:themeColor="text1"/>
          <w:sz w:val="24"/>
          <w:szCs w:val="24"/>
          <w14:textFill>
            <w14:solidFill>
              <w14:schemeClr w14:val="tx1"/>
            </w14:solidFill>
          </w14:textFill>
        </w:rPr>
        <w:t>。</w:t>
      </w:r>
    </w:p>
    <w:p w14:paraId="0541D00B">
      <w:pPr>
        <w:adjustRightInd/>
        <w:snapToGrid/>
        <w:spacing w:afterLines="0" w:line="360" w:lineRule="auto"/>
        <w:ind w:firstLine="480" w:firstLineChars="200"/>
        <w:jc w:val="both"/>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8.乙方违反合同约定应当赔偿给甲方造成的损失，包括但不限于直接损失、工程总工期损失、甲方向第三人支付的违约金、赔偿金、甲方另行委托第三人产生的费用以及甲方为索赔支出的诉讼费、律师费、评估费、差旅费、担保费、保全费、执行费等全部费用。</w:t>
      </w:r>
    </w:p>
    <w:p w14:paraId="11E405F3">
      <w:pPr>
        <w:adjustRightInd/>
        <w:snapToGrid/>
        <w:spacing w:afterLines="0" w:line="360" w:lineRule="auto"/>
        <w:ind w:firstLine="480" w:firstLineChars="200"/>
        <w:jc w:val="both"/>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第</w:t>
      </w:r>
      <w:r>
        <w:rPr>
          <w:rFonts w:hint="eastAsia" w:ascii="微软雅黑" w:hAnsi="微软雅黑" w:eastAsia="微软雅黑" w:cs="微软雅黑"/>
          <w:b/>
          <w:bCs w:val="0"/>
          <w:color w:val="000000" w:themeColor="text1"/>
          <w:sz w:val="24"/>
          <w:szCs w:val="24"/>
          <w:lang w:val="en-US" w:eastAsia="zh-CN"/>
          <w14:textFill>
            <w14:solidFill>
              <w14:schemeClr w14:val="tx1"/>
            </w14:solidFill>
          </w14:textFill>
        </w:rPr>
        <w:t>十三</w:t>
      </w:r>
      <w:r>
        <w:rPr>
          <w:rFonts w:hint="eastAsia" w:ascii="微软雅黑" w:hAnsi="微软雅黑" w:eastAsia="微软雅黑" w:cs="微软雅黑"/>
          <w:b/>
          <w:bCs w:val="0"/>
          <w:color w:val="000000" w:themeColor="text1"/>
          <w:sz w:val="24"/>
          <w:szCs w:val="24"/>
          <w14:textFill>
            <w14:solidFill>
              <w14:schemeClr w14:val="tx1"/>
            </w14:solidFill>
          </w14:textFill>
        </w:rPr>
        <w:t>条</w:t>
      </w:r>
      <w:r>
        <w:rPr>
          <w:rFonts w:hint="eastAsia" w:ascii="微软雅黑" w:hAnsi="微软雅黑" w:eastAsia="微软雅黑" w:cs="微软雅黑"/>
          <w:bCs/>
          <w:color w:val="000000" w:themeColor="text1"/>
          <w:sz w:val="24"/>
          <w:szCs w:val="24"/>
          <w14:textFill>
            <w14:solidFill>
              <w14:schemeClr w14:val="tx1"/>
            </w14:solidFill>
          </w14:textFill>
        </w:rPr>
        <w:t xml:space="preserve"> 送达</w:t>
      </w:r>
    </w:p>
    <w:p w14:paraId="6381C62B">
      <w:pPr>
        <w:spacing w:afterLines="0" w:line="360" w:lineRule="auto"/>
        <w:ind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1.直接送达</w:t>
      </w:r>
    </w:p>
    <w:p w14:paraId="4B022413">
      <w:pPr>
        <w:spacing w:afterLines="0" w:line="360" w:lineRule="auto"/>
        <w:ind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双方应当保证本合同约定送达地址以及联系方式为有效地址及联系方式。</w:t>
      </w:r>
    </w:p>
    <w:p w14:paraId="3914BD31">
      <w:pPr>
        <w:spacing w:afterLines="0" w:line="360" w:lineRule="auto"/>
        <w:ind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甲方确认送达地址如下：</w:t>
      </w:r>
    </w:p>
    <w:p w14:paraId="1A01C3F3">
      <w:pPr>
        <w:spacing w:afterLines="0" w:line="360" w:lineRule="auto"/>
        <w:ind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5E34AB94">
      <w:pPr>
        <w:spacing w:afterLines="0" w:line="360" w:lineRule="auto"/>
        <w:ind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084BE630">
      <w:pPr>
        <w:spacing w:afterLines="0" w:line="360" w:lineRule="auto"/>
        <w:ind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5B85C934">
      <w:pPr>
        <w:spacing w:afterLines="0" w:line="360" w:lineRule="auto"/>
        <w:ind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2C06CC8F">
      <w:pPr>
        <w:spacing w:afterLines="0" w:line="360" w:lineRule="auto"/>
        <w:ind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甲方电子送达方式如下：</w:t>
      </w:r>
    </w:p>
    <w:p w14:paraId="1538DA44">
      <w:pPr>
        <w:spacing w:afterLines="0" w:line="360" w:lineRule="auto"/>
        <w:ind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38E0F9F9">
      <w:pPr>
        <w:spacing w:afterLines="0" w:line="360" w:lineRule="auto"/>
        <w:ind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w:t>
      </w:r>
    </w:p>
    <w:p w14:paraId="7035A9C7">
      <w:pPr>
        <w:spacing w:afterLines="0" w:line="360" w:lineRule="auto"/>
        <w:ind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46C7D47D">
      <w:pPr>
        <w:spacing w:afterLines="0" w:line="360" w:lineRule="auto"/>
        <w:ind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            。</w:t>
      </w:r>
    </w:p>
    <w:p w14:paraId="0E0EF675">
      <w:pPr>
        <w:spacing w:afterLines="0" w:line="360" w:lineRule="auto"/>
        <w:ind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p>
    <w:p w14:paraId="2430CDDE">
      <w:pPr>
        <w:spacing w:afterLines="0" w:line="360" w:lineRule="auto"/>
        <w:ind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乙方确认送达地址如下：</w:t>
      </w:r>
    </w:p>
    <w:p w14:paraId="48F796B8">
      <w:pPr>
        <w:spacing w:afterLines="0" w:line="360" w:lineRule="auto"/>
        <w:ind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069395AF">
      <w:pPr>
        <w:spacing w:afterLines="0" w:line="360" w:lineRule="auto"/>
        <w:ind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3AA68C6E">
      <w:pPr>
        <w:spacing w:afterLines="0" w:line="360" w:lineRule="auto"/>
        <w:ind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6ADA146A">
      <w:pPr>
        <w:spacing w:afterLines="0" w:line="360" w:lineRule="auto"/>
        <w:ind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w:t>
      </w:r>
    </w:p>
    <w:p w14:paraId="13CC83C3">
      <w:pPr>
        <w:spacing w:afterLines="0" w:line="360" w:lineRule="auto"/>
        <w:ind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乙方电子送达方式如下：</w:t>
      </w:r>
    </w:p>
    <w:p w14:paraId="16F6CDFE">
      <w:pPr>
        <w:spacing w:afterLines="0" w:line="360" w:lineRule="auto"/>
        <w:ind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2F523236">
      <w:pPr>
        <w:spacing w:afterLines="0" w:line="360" w:lineRule="auto"/>
        <w:ind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w:t>
      </w:r>
    </w:p>
    <w:p w14:paraId="52900CC4">
      <w:pPr>
        <w:spacing w:afterLines="0" w:line="360" w:lineRule="auto"/>
        <w:ind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3B3B9D3A">
      <w:pPr>
        <w:spacing w:afterLines="0" w:line="360" w:lineRule="auto"/>
        <w:ind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w:t>
      </w:r>
    </w:p>
    <w:p w14:paraId="335FB1A7">
      <w:pPr>
        <w:spacing w:afterLines="0" w:line="360" w:lineRule="auto"/>
        <w:ind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法院、仲裁委员会、合同项下任何一方等主体有权依据本合约定地址向另一方发出的通知、信件、数据电文等内容，如因包括不限于搬迁、注销、更换地址等接收方原因造成无法送达的，不利后果由接收方自行承担。</w:t>
      </w:r>
    </w:p>
    <w:p w14:paraId="61019ADA">
      <w:pPr>
        <w:spacing w:afterLines="0" w:line="360" w:lineRule="auto"/>
        <w:ind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双方在合同履行过程中由双方共同明示或默示确认的合同约定外的送达地址和联系方式不影响送达效力。</w:t>
      </w:r>
    </w:p>
    <w:p w14:paraId="2213EEBD">
      <w:pPr>
        <w:spacing w:afterLines="0" w:line="360" w:lineRule="auto"/>
        <w:ind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437ACF18">
      <w:pPr>
        <w:spacing w:afterLines="0" w:line="360" w:lineRule="auto"/>
        <w:ind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2.法定送达</w:t>
      </w:r>
    </w:p>
    <w:p w14:paraId="5247BA98">
      <w:pPr>
        <w:spacing w:afterLines="0" w:line="360" w:lineRule="auto"/>
        <w:ind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一方变更送达信息的，应在变更后一日内通知对方，未行通知的，发送方按照原约定方式送达，视为送达成功。</w:t>
      </w:r>
    </w:p>
    <w:p w14:paraId="4B127915">
      <w:pPr>
        <w:spacing w:afterLines="0" w:line="360" w:lineRule="auto"/>
        <w:ind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双方发生争议，关于裁判机构的送达文书，接收方存在以下行为之一的，蚌埠仲裁委员会有权依据法律和适时有效的仲裁规则规定进行送达，法律与仲裁规则规定程序完成之日，视为送达成功：</w:t>
      </w:r>
    </w:p>
    <w:p w14:paraId="32CC86B3">
      <w:pPr>
        <w:spacing w:afterLines="0" w:line="360" w:lineRule="auto"/>
        <w:ind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擅自变更送达地址及信息且未及时通知对方的</w:t>
      </w:r>
    </w:p>
    <w:p w14:paraId="7E2763D7">
      <w:pPr>
        <w:spacing w:afterLines="0" w:line="360" w:lineRule="auto"/>
        <w:ind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送达地址与信息同工商登记信息不一致且未及时更改的</w:t>
      </w:r>
    </w:p>
    <w:p w14:paraId="4449CAB3">
      <w:pPr>
        <w:spacing w:afterLines="0" w:line="360" w:lineRule="auto"/>
        <w:ind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故意不接收蚌埠仲裁委员会送达文书的</w:t>
      </w:r>
    </w:p>
    <w:p w14:paraId="1D6F239F">
      <w:pPr>
        <w:spacing w:afterLines="0" w:line="360" w:lineRule="auto"/>
        <w:ind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因接收方过错造成无法正常送达的其他行为</w:t>
      </w:r>
    </w:p>
    <w:p w14:paraId="601525BE">
      <w:pPr>
        <w:spacing w:afterLines="0" w:line="360" w:lineRule="auto"/>
        <w:ind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3.法律适用</w:t>
      </w:r>
    </w:p>
    <w:p w14:paraId="20318A1E">
      <w:pPr>
        <w:spacing w:afterLines="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本条款的签订、效力、解释、履行和争议的解决均适用中华人民共和国法律。</w:t>
      </w:r>
    </w:p>
    <w:p w14:paraId="51C3581B">
      <w:pPr>
        <w:adjustRightInd/>
        <w:snapToGrid/>
        <w:spacing w:afterLines="0" w:line="360" w:lineRule="auto"/>
        <w:ind w:firstLine="480" w:firstLineChars="200"/>
        <w:jc w:val="both"/>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（以下无正文）</w:t>
      </w:r>
    </w:p>
    <w:p w14:paraId="70D21AEC">
      <w:pPr>
        <w:adjustRightInd/>
        <w:snapToGrid/>
        <w:spacing w:afterLines="0" w:line="360" w:lineRule="auto"/>
        <w:ind w:firstLine="480" w:firstLineChars="200"/>
        <w:jc w:val="both"/>
        <w:rPr>
          <w:rFonts w:hint="eastAsia" w:ascii="微软雅黑" w:hAnsi="微软雅黑" w:eastAsia="微软雅黑" w:cs="微软雅黑"/>
          <w:bCs/>
          <w:color w:val="000000" w:themeColor="text1"/>
          <w:sz w:val="24"/>
          <w:szCs w:val="24"/>
          <w14:textFill>
            <w14:solidFill>
              <w14:schemeClr w14:val="tx1"/>
            </w14:solidFill>
          </w14:textFill>
        </w:rPr>
      </w:pPr>
    </w:p>
    <w:p w14:paraId="5B749C63">
      <w:pPr>
        <w:adjustRightInd/>
        <w:snapToGrid/>
        <w:spacing w:afterLines="0" w:line="360" w:lineRule="auto"/>
        <w:ind w:firstLine="480" w:firstLineChars="200"/>
        <w:jc w:val="both"/>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甲方（盖章）：</w:t>
      </w:r>
    </w:p>
    <w:p w14:paraId="1E7A04B4">
      <w:pPr>
        <w:adjustRightInd/>
        <w:snapToGrid/>
        <w:spacing w:afterLines="0" w:line="360" w:lineRule="auto"/>
        <w:ind w:firstLine="480" w:firstLineChars="200"/>
        <w:jc w:val="both"/>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法定代表人（签字）：</w:t>
      </w:r>
    </w:p>
    <w:p w14:paraId="1A556473">
      <w:pPr>
        <w:adjustRightInd/>
        <w:snapToGrid/>
        <w:spacing w:afterLines="0" w:line="360" w:lineRule="auto"/>
        <w:ind w:firstLine="480" w:firstLineChars="200"/>
        <w:jc w:val="both"/>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委托代理人（签字）：</w:t>
      </w:r>
    </w:p>
    <w:p w14:paraId="4BD9C234">
      <w:pPr>
        <w:adjustRightInd/>
        <w:snapToGrid/>
        <w:spacing w:afterLines="0" w:line="360" w:lineRule="auto"/>
        <w:ind w:firstLine="480" w:firstLineChars="200"/>
        <w:jc w:val="both"/>
        <w:rPr>
          <w:rFonts w:hint="eastAsia" w:ascii="微软雅黑" w:hAnsi="微软雅黑" w:eastAsia="微软雅黑" w:cs="微软雅黑"/>
          <w:bCs/>
          <w:color w:val="000000" w:themeColor="text1"/>
          <w:sz w:val="24"/>
          <w:szCs w:val="24"/>
          <w14:textFill>
            <w14:solidFill>
              <w14:schemeClr w14:val="tx1"/>
            </w14:solidFill>
          </w14:textFill>
        </w:rPr>
      </w:pPr>
    </w:p>
    <w:p w14:paraId="517EC9D8">
      <w:pPr>
        <w:adjustRightInd/>
        <w:snapToGrid/>
        <w:spacing w:afterLines="0" w:line="360" w:lineRule="auto"/>
        <w:ind w:firstLine="480" w:firstLineChars="200"/>
        <w:jc w:val="both"/>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乙方（盖章）：</w:t>
      </w:r>
    </w:p>
    <w:p w14:paraId="207343F8">
      <w:pPr>
        <w:adjustRightInd/>
        <w:snapToGrid/>
        <w:spacing w:afterLines="0" w:line="360" w:lineRule="auto"/>
        <w:ind w:firstLine="480" w:firstLineChars="200"/>
        <w:jc w:val="both"/>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法定代表人（签字）：</w:t>
      </w:r>
    </w:p>
    <w:p w14:paraId="21C413EC">
      <w:pPr>
        <w:adjustRightInd/>
        <w:snapToGrid/>
        <w:spacing w:afterLines="0" w:line="360" w:lineRule="auto"/>
        <w:ind w:firstLine="480" w:firstLineChars="200"/>
        <w:jc w:val="both"/>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委托代理人（签字）：</w:t>
      </w:r>
    </w:p>
    <w:p w14:paraId="7AF5E65C">
      <w:pPr>
        <w:adjustRightInd/>
        <w:snapToGrid/>
        <w:spacing w:afterLines="0" w:line="360" w:lineRule="auto"/>
        <w:ind w:firstLine="480" w:firstLineChars="200"/>
        <w:jc w:val="both"/>
        <w:rPr>
          <w:rFonts w:hint="eastAsia" w:ascii="微软雅黑" w:hAnsi="微软雅黑" w:eastAsia="微软雅黑" w:cs="微软雅黑"/>
          <w:bCs/>
          <w:color w:val="000000" w:themeColor="text1"/>
          <w:sz w:val="24"/>
          <w:szCs w:val="24"/>
          <w14:textFill>
            <w14:solidFill>
              <w14:schemeClr w14:val="tx1"/>
            </w14:solidFill>
          </w14:textFill>
        </w:rPr>
      </w:pPr>
    </w:p>
    <w:p w14:paraId="36053692">
      <w:pPr>
        <w:adjustRightInd/>
        <w:snapToGrid/>
        <w:spacing w:afterLines="0" w:line="360" w:lineRule="auto"/>
        <w:ind w:firstLine="480" w:firstLineChars="200"/>
        <w:jc w:val="both"/>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签订时间：</w:t>
      </w:r>
    </w:p>
    <w:p w14:paraId="6D97CA98">
      <w:pPr>
        <w:adjustRightInd/>
        <w:snapToGrid/>
        <w:spacing w:afterLines="0" w:line="360" w:lineRule="auto"/>
        <w:ind w:firstLine="480" w:firstLineChars="200"/>
        <w:jc w:val="both"/>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签订地点：</w:t>
      </w:r>
    </w:p>
    <w:p w14:paraId="54A43AD5">
      <w:pPr>
        <w:spacing w:afterLines="0" w:line="360" w:lineRule="auto"/>
        <w:rPr>
          <w:rFonts w:hint="eastAsia" w:ascii="微软雅黑" w:hAnsi="微软雅黑" w:eastAsia="微软雅黑" w:cs="微软雅黑"/>
          <w:color w:val="000000" w:themeColor="text1"/>
          <w:sz w:val="24"/>
          <w:szCs w:val="24"/>
          <w14:textFill>
            <w14:solidFill>
              <w14:schemeClr w14:val="tx1"/>
            </w14:solidFill>
          </w14:textFill>
        </w:rPr>
      </w:pPr>
    </w:p>
    <w:p w14:paraId="68FC4F02">
      <w:pPr>
        <w:rPr>
          <w:rFonts w:hint="eastAsia" w:ascii="微软雅黑" w:hAnsi="微软雅黑" w:eastAsia="微软雅黑" w:cs="微软雅黑"/>
          <w:color w:val="000000" w:themeColor="text1"/>
          <w:sz w:val="24"/>
          <w:szCs w:val="24"/>
          <w14:textFill>
            <w14:solidFill>
              <w14:schemeClr w14:val="tx1"/>
            </w14:solidFill>
          </w14:textFil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05016"/>
    </w:sdtPr>
    <w:sdtContent>
      <w:sdt>
        <w:sdtPr>
          <w:id w:val="171357217"/>
        </w:sdtPr>
        <w:sdtContent>
          <w:p w14:paraId="6F20DD6E">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10</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771918EF">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AE39CC"/>
    <w:multiLevelType w:val="multilevel"/>
    <w:tmpl w:val="60AE39CC"/>
    <w:lvl w:ilvl="0" w:tentative="0">
      <w:start w:val="1"/>
      <w:numFmt w:val="none"/>
      <w:lvlText w:val=""/>
      <w:lvlJc w:val="left"/>
      <w:pPr>
        <w:tabs>
          <w:tab w:val="left" w:pos="432"/>
        </w:tabs>
        <w:ind w:left="432" w:hanging="432"/>
      </w:pPr>
      <w:rPr>
        <w:rFonts w:cs="Times New Roman"/>
      </w:rPr>
    </w:lvl>
    <w:lvl w:ilvl="1" w:tentative="0">
      <w:start w:val="1"/>
      <w:numFmt w:val="none"/>
      <w:lvlText w:val=" "/>
      <w:lvlJc w:val="left"/>
      <w:pPr>
        <w:tabs>
          <w:tab w:val="left" w:pos="576"/>
        </w:tabs>
        <w:ind w:left="576" w:hanging="576"/>
      </w:pPr>
      <w:rPr>
        <w:rFonts w:cs="Times New Roman"/>
      </w:rPr>
    </w:lvl>
    <w:lvl w:ilvl="2" w:tentative="0">
      <w:start w:val="1"/>
      <w:numFmt w:val="none"/>
      <w:lvlText w:val=""/>
      <w:lvlJc w:val="left"/>
      <w:pPr>
        <w:tabs>
          <w:tab w:val="left" w:pos="720"/>
        </w:tabs>
        <w:ind w:left="720" w:hanging="720"/>
      </w:pPr>
      <w:rPr>
        <w:rFonts w:cs="Times New Roman"/>
      </w:rPr>
    </w:lvl>
    <w:lvl w:ilvl="3" w:tentative="0">
      <w:start w:val="1"/>
      <w:numFmt w:val="none"/>
      <w:lvlText w:val="    "/>
      <w:lvlJc w:val="left"/>
      <w:pPr>
        <w:tabs>
          <w:tab w:val="left" w:pos="864"/>
        </w:tabs>
        <w:ind w:left="864" w:hanging="864"/>
      </w:pPr>
      <w:rPr>
        <w:rFonts w:cs="Times New Roman"/>
      </w:rPr>
    </w:lvl>
    <w:lvl w:ilvl="4" w:tentative="0">
      <w:start w:val="1"/>
      <w:numFmt w:val="none"/>
      <w:lvlText w:val="      "/>
      <w:lvlJc w:val="left"/>
      <w:pPr>
        <w:tabs>
          <w:tab w:val="left" w:pos="1008"/>
        </w:tabs>
        <w:ind w:left="1008" w:hanging="1008"/>
      </w:pPr>
      <w:rPr>
        <w:rFonts w:cs="Times New Roman"/>
      </w:rPr>
    </w:lvl>
    <w:lvl w:ilvl="5" w:tentative="0">
      <w:start w:val="1"/>
      <w:numFmt w:val="none"/>
      <w:lvlText w:val="           "/>
      <w:lvlJc w:val="left"/>
      <w:pPr>
        <w:tabs>
          <w:tab w:val="left" w:pos="1440"/>
        </w:tabs>
        <w:ind w:left="1152" w:hanging="1152"/>
      </w:pPr>
      <w:rPr>
        <w:rFonts w:cs="Times New Roman"/>
      </w:rPr>
    </w:lvl>
    <w:lvl w:ilvl="6" w:tentative="0">
      <w:start w:val="1"/>
      <w:numFmt w:val="decimal"/>
      <w:lvlText w:val="%1.%2.%3.%4.%5.%6.%7"/>
      <w:lvlJc w:val="left"/>
      <w:pPr>
        <w:tabs>
          <w:tab w:val="left" w:pos="2520"/>
        </w:tabs>
        <w:ind w:left="1296" w:hanging="1296"/>
      </w:pPr>
      <w:rPr>
        <w:rFonts w:cs="Times New Roman"/>
      </w:rPr>
    </w:lvl>
    <w:lvl w:ilvl="7" w:tentative="0">
      <w:start w:val="1"/>
      <w:numFmt w:val="decimal"/>
      <w:lvlText w:val="%1.%2.%3.%4.%5.%6.%7.%8"/>
      <w:lvlJc w:val="left"/>
      <w:pPr>
        <w:tabs>
          <w:tab w:val="left" w:pos="1440"/>
        </w:tabs>
        <w:ind w:left="1440" w:hanging="1440"/>
      </w:pPr>
      <w:rPr>
        <w:rFonts w:cs="Times New Roman"/>
      </w:rPr>
    </w:lvl>
    <w:lvl w:ilvl="8" w:tentative="0">
      <w:start w:val="1"/>
      <w:numFmt w:val="decimal"/>
      <w:lvlText w:val="%1.%2.%3.%4.%5.%6.%7.%8.%9"/>
      <w:lvlJc w:val="left"/>
      <w:pPr>
        <w:tabs>
          <w:tab w:val="left" w:pos="1584"/>
        </w:tabs>
        <w:ind w:left="1584" w:hanging="1584"/>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9379C2"/>
    <w:rsid w:val="001C6AC6"/>
    <w:rsid w:val="1F610D04"/>
    <w:rsid w:val="4A9B0FD8"/>
    <w:rsid w:val="4E9379C2"/>
    <w:rsid w:val="50055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kern w:val="0"/>
      <w:sz w:val="20"/>
      <w:szCs w:val="20"/>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0"/>
    <w:pPr>
      <w:ind w:firstLine="420"/>
    </w:pPr>
  </w:style>
  <w:style w:type="paragraph" w:styleId="3">
    <w:name w:val="Plain Text"/>
    <w:basedOn w:val="1"/>
    <w:unhideWhenUsed/>
    <w:qFormat/>
    <w:uiPriority w:val="0"/>
    <w:rPr>
      <w:rFonts w:ascii="宋体" w:hAnsi="Courier New" w:cs="Courier New"/>
      <w:szCs w:val="21"/>
    </w:rPr>
  </w:style>
  <w:style w:type="paragraph" w:styleId="4">
    <w:name w:val="footer"/>
    <w:basedOn w:val="1"/>
    <w:unhideWhenUsed/>
    <w:qFormat/>
    <w:uiPriority w:val="99"/>
    <w:pPr>
      <w:tabs>
        <w:tab w:val="center" w:pos="4153"/>
        <w:tab w:val="right" w:pos="8306"/>
      </w:tabs>
      <w:snapToGrid w:val="0"/>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6439</Words>
  <Characters>6487</Characters>
  <Lines>0</Lines>
  <Paragraphs>0</Paragraphs>
  <TotalTime>2</TotalTime>
  <ScaleCrop>false</ScaleCrop>
  <LinksUpToDate>false</LinksUpToDate>
  <CharactersWithSpaces>7080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2021-05-25T13:10:00Z</dcterms:created>
  <dc:creator>真宇律师</dc:creator>
  <cp:lastModifiedBy>豪</cp:lastModifiedBy>
  <dcterms:modified xsi:type="dcterms:W3CDTF">2026-03-22T06:14:11Z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F2BEC5B07906498F97D7DBA0EFB555A9_13</vt:lpwstr>
  </property>
  <property fmtid="{D5CDD505-2E9C-101B-9397-08002B2CF9AE}" pid="4" name="KSOTemplateDocerSaveRecord">
    <vt:lpwstr>eyJoZGlkIjoiNTg0MzMyNGJiMDEzODc5ODNlMGVjODViOWRkZjg1MDgiLCJ1c2VySWQiOiIxMjc2Mzc3NjgxIn0=</vt:lpwstr>
  </property>
</Properties>
</file>