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75D4D6">
      <w:pPr>
        <w:pStyle w:val="2"/>
        <w:widowControl/>
        <w:spacing w:after="0" w:line="360" w:lineRule="auto"/>
        <w:rPr>
          <w:rFonts w:hint="eastAsia" w:ascii="微软雅黑" w:hAnsi="微软雅黑" w:eastAsia="微软雅黑" w:cs="微软雅黑"/>
          <w:spacing w:val="57"/>
          <w:sz w:val="36"/>
          <w:szCs w:val="36"/>
        </w:rPr>
      </w:pPr>
      <w:bookmarkStart w:id="0" w:name="_GoBack"/>
      <w:r>
        <w:rPr>
          <w:rFonts w:hint="eastAsia" w:ascii="微软雅黑" w:hAnsi="微软雅黑" w:eastAsia="微软雅黑" w:cs="微软雅黑"/>
          <w:spacing w:val="57"/>
          <w:sz w:val="36"/>
          <w:szCs w:val="36"/>
        </w:rPr>
        <w:t>光纤租赁合同</w:t>
      </w:r>
    </w:p>
    <w:bookmarkEnd w:id="0"/>
    <w:p w14:paraId="69730B87">
      <w:pPr>
        <w:pStyle w:val="5"/>
        <w:spacing w:before="0" w:beforeAutospacing="0" w:after="0" w:afterAutospacing="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p>
    <w:p w14:paraId="7D8E288F">
      <w:pPr>
        <w:pStyle w:val="5"/>
        <w:spacing w:before="0" w:beforeAutospacing="0" w:after="0" w:afterAutospacing="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甲方(承租人)：</w:t>
      </w:r>
    </w:p>
    <w:p w14:paraId="51B6F314">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身份证号\统一社会信用代码：</w:t>
      </w:r>
    </w:p>
    <w:p w14:paraId="72982D4A">
      <w:pPr>
        <w:pStyle w:val="5"/>
        <w:spacing w:before="0" w:beforeAutospacing="0" w:after="0" w:afterAutospacing="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p>
    <w:p w14:paraId="530E66B8">
      <w:pPr>
        <w:pStyle w:val="5"/>
        <w:spacing w:before="0" w:beforeAutospacing="0" w:after="0" w:afterAutospacing="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乙方（出租人）：</w:t>
      </w:r>
    </w:p>
    <w:p w14:paraId="6A877DFA">
      <w:pPr>
        <w:pStyle w:val="5"/>
        <w:spacing w:before="0" w:beforeAutospacing="0" w:after="0" w:afterAutospacing="0" w:line="360" w:lineRule="auto"/>
        <w:ind w:firstLine="480" w:firstLineChars="200"/>
        <w:jc w:val="both"/>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身份证号\统一社会信用代码：</w:t>
      </w:r>
    </w:p>
    <w:p w14:paraId="6AF8D78E">
      <w:pPr>
        <w:spacing w:line="360" w:lineRule="auto"/>
        <w:ind w:firstLine="480" w:firstLineChars="200"/>
        <w:rPr>
          <w:rFonts w:hint="eastAsia" w:ascii="微软雅黑" w:hAnsi="微软雅黑" w:eastAsia="微软雅黑" w:cs="微软雅黑"/>
          <w:sz w:val="24"/>
          <w:szCs w:val="24"/>
          <w:lang w:bidi="ar"/>
        </w:rPr>
      </w:pPr>
    </w:p>
    <w:p w14:paraId="6772467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甲乙双方本着平等互利的原则，经充分友好协商，签订光纤租赁合同如下：</w:t>
      </w:r>
    </w:p>
    <w:p w14:paraId="26062204">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第一条  租用标的物及其用途</w:t>
      </w:r>
    </w:p>
    <w:p w14:paraId="5453C4A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1.甲方向乙方租用的光纤为：</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w:t>
      </w:r>
    </w:p>
    <w:p w14:paraId="2CACF6CB">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lang w:bidi="ar"/>
        </w:rPr>
        <w:t>2.乙方向甲方提供</w:t>
      </w:r>
      <w:r>
        <w:rPr>
          <w:rFonts w:hint="eastAsia" w:ascii="微软雅黑" w:hAnsi="微软雅黑" w:eastAsia="微软雅黑" w:cs="微软雅黑"/>
          <w:i/>
          <w:iCs/>
          <w:sz w:val="24"/>
          <w:szCs w:val="24"/>
          <w:u w:val="single"/>
          <w:lang w:bidi="ar"/>
        </w:rPr>
        <w:t xml:space="preserve">   </w:t>
      </w:r>
      <w:r>
        <w:rPr>
          <w:rFonts w:hint="eastAsia" w:ascii="微软雅黑" w:hAnsi="微软雅黑" w:eastAsia="微软雅黑" w:cs="微软雅黑"/>
          <w:sz w:val="24"/>
          <w:szCs w:val="24"/>
          <w:lang w:bidi="ar"/>
        </w:rPr>
        <w:t>组公网固定IP地址。</w:t>
      </w:r>
    </w:p>
    <w:p w14:paraId="02848A5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3.甲方租用该光纤用的用途：</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w:t>
      </w:r>
    </w:p>
    <w:p w14:paraId="31BBCEBF">
      <w:pPr>
        <w:spacing w:line="360" w:lineRule="auto"/>
        <w:ind w:firstLine="480" w:firstLineChars="200"/>
        <w:rPr>
          <w:rFonts w:hint="eastAsia" w:ascii="微软雅黑" w:hAnsi="微软雅黑" w:eastAsia="微软雅黑" w:cs="微软雅黑"/>
          <w:b/>
          <w:sz w:val="24"/>
          <w:szCs w:val="24"/>
          <w:lang w:bidi="ar"/>
        </w:rPr>
      </w:pPr>
    </w:p>
    <w:p w14:paraId="0CF75680">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第二条  租用期限</w:t>
      </w:r>
    </w:p>
    <w:p w14:paraId="07BE203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年</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月</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日至</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年</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月</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日</w:t>
      </w:r>
    </w:p>
    <w:p w14:paraId="23E62B1B">
      <w:pPr>
        <w:spacing w:line="360" w:lineRule="auto"/>
        <w:ind w:firstLine="480" w:firstLineChars="200"/>
        <w:rPr>
          <w:rFonts w:hint="eastAsia" w:ascii="微软雅黑" w:hAnsi="微软雅黑" w:eastAsia="微软雅黑" w:cs="微软雅黑"/>
          <w:b/>
          <w:sz w:val="24"/>
          <w:szCs w:val="24"/>
          <w:lang w:bidi="ar"/>
        </w:rPr>
      </w:pPr>
    </w:p>
    <w:p w14:paraId="501077D6">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第三条  相关费用</w:t>
      </w:r>
    </w:p>
    <w:p w14:paraId="22D21C18">
      <w:pPr>
        <w:pStyle w:val="11"/>
        <w:widowControl/>
        <w:numPr>
          <w:ilvl w:val="1"/>
          <w:numId w:val="0"/>
        </w:num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1.</w:t>
      </w:r>
      <w:r>
        <w:rPr>
          <w:rFonts w:hint="eastAsia" w:ascii="微软雅黑" w:hAnsi="微软雅黑" w:eastAsia="微软雅黑" w:cs="微软雅黑"/>
          <w:sz w:val="24"/>
          <w:szCs w:val="24"/>
        </w:rPr>
        <w:t>本合同租赁费用包含光纤租赁费及安装费。</w:t>
      </w:r>
    </w:p>
    <w:p w14:paraId="718C85E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2.光纤月租费为人民币：</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元/月/条。本条所属费用的付费方式为年付，即每年费用总计人民币</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元（大写：</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w:t>
      </w:r>
    </w:p>
    <w:p w14:paraId="36F9F02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3.如在合同期内因国家光纤租赁资费调整，本合同中所述光纤租赁的资费发生变动，经双方协商并书面认可后，甲方按照双方达成的新资费标准支付光纤租赁费。</w:t>
      </w:r>
    </w:p>
    <w:p w14:paraId="2D7F883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4.光纤租赁费的支付方式为转账，合同签订后</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日内乙方向甲方出具全部费用的正式发票，甲方在收到发票后</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日内向乙方支付</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%租赁费，待光纤调通使用后</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日内向乙方支付剩余租赁费。</w:t>
      </w:r>
    </w:p>
    <w:p w14:paraId="1098D98F">
      <w:pPr>
        <w:spacing w:line="360" w:lineRule="auto"/>
        <w:ind w:firstLine="480" w:firstLineChars="200"/>
        <w:rPr>
          <w:rFonts w:hint="eastAsia" w:ascii="微软雅黑" w:hAnsi="微软雅黑" w:eastAsia="微软雅黑" w:cs="微软雅黑"/>
          <w:b/>
          <w:sz w:val="24"/>
          <w:szCs w:val="24"/>
          <w:lang w:bidi="ar"/>
        </w:rPr>
      </w:pPr>
    </w:p>
    <w:p w14:paraId="52DEEBEF">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第四条  甲方权利义务</w:t>
      </w:r>
    </w:p>
    <w:p w14:paraId="4D0E176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1.甲方应当按照 合同约定履行付款义务。如甲方逾期不支付租赁费，待乙方通知其履行付款义务</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日内甲方仍未履行该义务的，乙方有权要求甲方继续履行付款义务，并按尚未支付租赁费数额要求甲方承担每日千分之</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的违约金。</w:t>
      </w:r>
    </w:p>
    <w:p w14:paraId="30A398C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2.甲方负责提供乙方通信设备、线路安装场所，在乙方设备安装施工过程中，甲方应给予必要的协助。</w:t>
      </w:r>
    </w:p>
    <w:p w14:paraId="0F28575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3.甲方应当乙方提供符合技术要求的安装接入设备的位置以及相应标准电源，并负责协调乙方在甲方所属区域内的管线敷设工程的相关事宜。</w:t>
      </w:r>
    </w:p>
    <w:p w14:paraId="19AB910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4.甲方应按本合同约定使用租赁光纤，不得进行互联网低俗、国家法律禁止的内容传播；建立网站时必须在工业与信息化部网站进行备案。</w:t>
      </w:r>
    </w:p>
    <w:p w14:paraId="65E78D0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5.甲方租用的光纤仅用于本合同约定的用途，不得擅自出租，转让给任何第三方使用或擅自改变用途用于经营性活动。</w:t>
      </w:r>
    </w:p>
    <w:p w14:paraId="7F199343">
      <w:pPr>
        <w:spacing w:line="360" w:lineRule="auto"/>
        <w:ind w:firstLine="480" w:firstLineChars="200"/>
        <w:rPr>
          <w:rFonts w:hint="eastAsia" w:ascii="微软雅黑" w:hAnsi="微软雅黑" w:eastAsia="微软雅黑" w:cs="微软雅黑"/>
          <w:b/>
          <w:sz w:val="24"/>
          <w:szCs w:val="24"/>
          <w:lang w:bidi="ar"/>
        </w:rPr>
      </w:pPr>
    </w:p>
    <w:p w14:paraId="1333761E">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第五条  乙方权利义务</w:t>
      </w:r>
    </w:p>
    <w:p w14:paraId="38470B4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1.甲方交纳费用后，如甲方无光传输系统，乙方将为甲方投资建设一套光传输系统，该设备产权归</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方所有。</w:t>
      </w:r>
    </w:p>
    <w:p w14:paraId="18888D5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2.在线路及设备条件许可的情况下，乙方应在</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日内组织甲方租用光纤的通路，最大限度地保证甲方租用光纤的安全运行，如乙方未能依约调通该光纤，给甲方光纤使用造成损失的，乙方应承担赔偿责任。</w:t>
      </w:r>
    </w:p>
    <w:p w14:paraId="49A327A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3.乙方应保证出租的光纤的质量和服务水平应符合国家有关标准和规定。</w:t>
      </w:r>
    </w:p>
    <w:p w14:paraId="13363FB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4.乙方应负责对向甲方所提供光纤以及相关设备的定期检查、日常维护、修缮及保养，加强值班和监测，保证光纤不中断。当光纤发生故障时，乙方应及时修复。</w:t>
      </w:r>
    </w:p>
    <w:p w14:paraId="233617F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5.乙方由于割接、维修等正常计划的原因需中断甲方租用的光纤时，应至提前</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小时书面通知甲方，并安排相应措施尽量保证该光纤的畅通，对于紧急情况，甲乙双方另行协商。</w:t>
      </w:r>
    </w:p>
    <w:p w14:paraId="6D42D83D">
      <w:pPr>
        <w:spacing w:line="360" w:lineRule="auto"/>
        <w:ind w:firstLine="480" w:firstLineChars="200"/>
        <w:rPr>
          <w:rFonts w:hint="eastAsia" w:ascii="微软雅黑" w:hAnsi="微软雅黑" w:eastAsia="微软雅黑" w:cs="微软雅黑"/>
          <w:b/>
          <w:sz w:val="24"/>
          <w:szCs w:val="24"/>
          <w:lang w:bidi="ar"/>
        </w:rPr>
      </w:pPr>
    </w:p>
    <w:p w14:paraId="386E971E">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第六条  光纤调通、验收及使用</w:t>
      </w:r>
    </w:p>
    <w:p w14:paraId="05A8369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1.自本合同签字生效后，乙方将在</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日内完成本合同所涉光纤调试工作。如因甲方原因或不可抗力因素，工期顺延。</w:t>
      </w:r>
    </w:p>
    <w:p w14:paraId="2142E66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2.乙方根据甲方的要求进行光纤测试，测试完毕后乙方向甲方提交有关测试数据报告，即《光纤开通验收表》，甲方如认可测试数据后在《光纤验收合格证书》上签字确认并加盖公章，此时为此条光纤开通之日。</w:t>
      </w:r>
    </w:p>
    <w:p w14:paraId="1E8E6D1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3.如在本合同规定的开通时间内，乙方未能按时开通，则乙方需在延迟开通的时间内向甲方支付违约金，具体的每日违约金为该条光纤租赁月租金的千分之</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（每月按三十天计），逐日累计，不足一天的按一天算。违约金在该条光纤开通后自甲方向乙方交纳的首月的月租金内扣除。</w:t>
      </w:r>
    </w:p>
    <w:p w14:paraId="58FCCDF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4.甲方在使用光纤过程中，因乙方原因造成的中断，乙方对甲方应予以补偿。补偿费用的计算，根据中断时间的时长和次数进行计算（因不可抗力原因造成的中断除外），补偿费用计算方法如下：</w:t>
      </w:r>
    </w:p>
    <w:p w14:paraId="75778F0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(1)每月累计中断时间不超过</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小时且中断次数不超过</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次，乙方无须补偿；</w:t>
      </w:r>
    </w:p>
    <w:p w14:paraId="06B6956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(2)中断次数超过</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次，每中断</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次补偿当月租金的</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w:t>
      </w:r>
    </w:p>
    <w:p w14:paraId="258F2B9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(3)中断时间超过</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小时不足</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小时，每超过</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小时补偿当月租金的</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%，最多补偿当月租金的</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w:t>
      </w:r>
    </w:p>
    <w:p w14:paraId="008769F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(4)中断时间超过</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小时，甲方有权不付当月租金。</w:t>
      </w:r>
    </w:p>
    <w:p w14:paraId="65F9E29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5.光纤使用过程中出现光纤中断，甲方应立即通知乙方，由乙方派人到现场查明原因并及时修复。</w:t>
      </w:r>
    </w:p>
    <w:p w14:paraId="3E772A0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6.由于甲方自备设备的故障或甲方操作不当造成的光纤中断，乙方不予以补偿。</w:t>
      </w:r>
    </w:p>
    <w:p w14:paraId="7C942C0D">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第七条  保密条款</w:t>
      </w:r>
    </w:p>
    <w:p w14:paraId="5B6AE2E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本合同终止后</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月内，未经对方书面许可，任何一方都不得向第三方透露本合同内容以及因签订和执行本合同过程中得到的另一方的信息、资料和商业秘密等。</w:t>
      </w:r>
    </w:p>
    <w:p w14:paraId="2E90E08A">
      <w:pPr>
        <w:spacing w:line="360" w:lineRule="auto"/>
        <w:ind w:firstLine="480" w:firstLineChars="200"/>
        <w:rPr>
          <w:rFonts w:hint="eastAsia" w:ascii="微软雅黑" w:hAnsi="微软雅黑" w:eastAsia="微软雅黑" w:cs="微软雅黑"/>
          <w:b/>
          <w:sz w:val="24"/>
          <w:szCs w:val="24"/>
          <w:lang w:bidi="ar"/>
        </w:rPr>
      </w:pPr>
    </w:p>
    <w:p w14:paraId="0702CF53">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第八条  违约责任</w:t>
      </w:r>
    </w:p>
    <w:p w14:paraId="11D857A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1.任何一方未履行本合同项下的任何一项条款均被视为违约。应按本合同相关条款之约定承担相应的违约责任。违约金不足以弥补合约方损失的，违约方还应承担赔偿损失的责任。</w:t>
      </w:r>
    </w:p>
    <w:p w14:paraId="33A86E5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2.除另有约定外，被合同不得提前解除，如合同一方欲解除合同的视为违约。</w:t>
      </w:r>
    </w:p>
    <w:p w14:paraId="5F9E38C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3.乙方按照《中华人民共和国电信条例》以及本合同约定提供保障、维护等服务，乙方违反上述约定提供服务的，按照上述相关规定承担违约责任。</w:t>
      </w:r>
    </w:p>
    <w:p w14:paraId="53F41795">
      <w:pPr>
        <w:tabs>
          <w:tab w:val="left" w:pos="0"/>
        </w:tabs>
        <w:spacing w:line="360" w:lineRule="auto"/>
        <w:ind w:firstLine="480" w:firstLineChars="200"/>
        <w:rPr>
          <w:rFonts w:hint="eastAsia" w:ascii="微软雅黑" w:hAnsi="微软雅黑" w:eastAsia="微软雅黑" w:cs="微软雅黑"/>
          <w:b/>
          <w:sz w:val="24"/>
          <w:szCs w:val="24"/>
          <w:lang w:bidi="ar"/>
        </w:rPr>
      </w:pPr>
    </w:p>
    <w:p w14:paraId="5639964E">
      <w:pPr>
        <w:tabs>
          <w:tab w:val="left" w:pos="0"/>
        </w:tabs>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sz w:val="24"/>
          <w:szCs w:val="24"/>
          <w:lang w:bidi="ar"/>
        </w:rPr>
        <w:t xml:space="preserve">第九条  </w:t>
      </w:r>
      <w:r>
        <w:rPr>
          <w:rFonts w:hint="eastAsia" w:ascii="微软雅黑" w:hAnsi="微软雅黑" w:eastAsia="微软雅黑" w:cs="微软雅黑"/>
          <w:b/>
          <w:bCs/>
          <w:color w:val="000000" w:themeColor="text1"/>
          <w:sz w:val="24"/>
          <w:szCs w:val="24"/>
          <w14:textFill>
            <w14:solidFill>
              <w14:schemeClr w14:val="tx1"/>
            </w14:solidFill>
          </w14:textFill>
        </w:rPr>
        <w:t>免责条款</w:t>
      </w:r>
    </w:p>
    <w:p w14:paraId="7A480CBE">
      <w:pPr>
        <w:autoSpaceDE w:val="0"/>
        <w:autoSpaceDN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391DD022">
      <w:pPr>
        <w:autoSpaceDE w:val="0"/>
        <w:autoSpaceDN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2.当出现双方在订立合同时无法预见的、不属于商业风险的重大变化，双方不能协商变更合同导致合同解除的，双方互不承担违约责任。</w:t>
      </w:r>
    </w:p>
    <w:p w14:paraId="47C66C9C">
      <w:pPr>
        <w:tabs>
          <w:tab w:val="left" w:pos="0"/>
        </w:tabs>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3.因治安管理案件或刑事犯罪案件，包括但不限于故意伤害、爆炸、偷盗、抢劫等导致人身伤害或财产损失的，由行为人承担责任</w:t>
      </w:r>
      <w:r>
        <w:rPr>
          <w:rFonts w:hint="eastAsia" w:ascii="微软雅黑" w:hAnsi="微软雅黑" w:eastAsia="微软雅黑" w:cs="微软雅黑"/>
          <w:bCs/>
          <w:color w:val="000000" w:themeColor="text1"/>
          <w:sz w:val="24"/>
          <w:szCs w:val="24"/>
          <w14:textFill>
            <w14:solidFill>
              <w14:schemeClr w14:val="tx1"/>
            </w14:solidFill>
          </w14:textFill>
        </w:rPr>
        <w:t>。</w:t>
      </w:r>
    </w:p>
    <w:p w14:paraId="224188B8">
      <w:pPr>
        <w:spacing w:line="360" w:lineRule="auto"/>
        <w:ind w:firstLine="480" w:firstLineChars="200"/>
        <w:rPr>
          <w:rFonts w:hint="eastAsia" w:ascii="微软雅黑" w:hAnsi="微软雅黑" w:eastAsia="微软雅黑" w:cs="微软雅黑"/>
          <w:sz w:val="24"/>
          <w:szCs w:val="24"/>
        </w:rPr>
      </w:pPr>
    </w:p>
    <w:p w14:paraId="4726D1D6">
      <w:pPr>
        <w:tabs>
          <w:tab w:val="left" w:pos="0"/>
        </w:tabs>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sz w:val="24"/>
          <w:szCs w:val="24"/>
          <w:lang w:bidi="ar"/>
        </w:rPr>
        <w:t xml:space="preserve">第十条  </w:t>
      </w:r>
      <w:r>
        <w:rPr>
          <w:rFonts w:hint="eastAsia" w:ascii="微软雅黑" w:hAnsi="微软雅黑" w:eastAsia="微软雅黑" w:cs="微软雅黑"/>
          <w:b/>
          <w:bCs/>
          <w:sz w:val="24"/>
          <w:szCs w:val="24"/>
          <w:lang w:bidi="ar"/>
        </w:rPr>
        <w:t>争议解决</w:t>
      </w:r>
    </w:p>
    <w:p w14:paraId="301A628C">
      <w:pPr>
        <w:pStyle w:val="5"/>
        <w:wordWrap w:val="0"/>
        <w:spacing w:before="0" w:beforeAutospacing="0" w:after="0" w:afterAutospacing="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凡因本合同引起的或与本合同有关的任何争议，均提交</w:t>
      </w:r>
      <w:r>
        <w:rPr>
          <w:rFonts w:hint="eastAsia" w:ascii="微软雅黑" w:hAnsi="微软雅黑" w:eastAsia="微软雅黑" w:cs="微软雅黑"/>
          <w:color w:val="000000"/>
          <w:sz w:val="24"/>
          <w:szCs w:val="24"/>
          <w:lang w:eastAsia="zh-CN"/>
        </w:rPr>
        <w:t>蚌埠</w:t>
      </w:r>
      <w:r>
        <w:rPr>
          <w:rFonts w:hint="eastAsia" w:ascii="微软雅黑" w:hAnsi="微软雅黑" w:eastAsia="微软雅黑" w:cs="微软雅黑"/>
          <w:color w:val="000000"/>
          <w:sz w:val="24"/>
          <w:szCs w:val="24"/>
        </w:rPr>
        <w:t>仲裁委员会，按照该会的仲裁规则进行仲裁。仲裁裁决是终局的，对双方均有约束力。</w:t>
      </w:r>
    </w:p>
    <w:p w14:paraId="7F437091">
      <w:pPr>
        <w:tabs>
          <w:tab w:val="left" w:pos="0"/>
        </w:tabs>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sz w:val="24"/>
          <w:szCs w:val="24"/>
          <w:lang w:bidi="ar"/>
        </w:rPr>
        <w:t xml:space="preserve">第十一条  </w:t>
      </w:r>
      <w:r>
        <w:rPr>
          <w:rFonts w:hint="eastAsia" w:ascii="微软雅黑" w:hAnsi="微软雅黑" w:eastAsia="微软雅黑" w:cs="微软雅黑"/>
          <w:b/>
          <w:bCs/>
          <w:color w:val="000000" w:themeColor="text1"/>
          <w:sz w:val="24"/>
          <w:szCs w:val="24"/>
          <w14:textFill>
            <w14:solidFill>
              <w14:schemeClr w14:val="tx1"/>
            </w14:solidFill>
          </w14:textFill>
        </w:rPr>
        <w:t>其他约定</w:t>
      </w:r>
    </w:p>
    <w:p w14:paraId="59427777">
      <w:pPr>
        <w:tabs>
          <w:tab w:val="left" w:pos="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kern w:val="0"/>
          <w:sz w:val="24"/>
          <w:szCs w:val="24"/>
          <w:lang w:bidi="ar"/>
        </w:rPr>
        <w:t>1.本合同自双方或双方法定代表人或其委托代理人签字并加盖单位公章或合同专用章之日起生效，</w:t>
      </w:r>
      <w:r>
        <w:rPr>
          <w:rFonts w:hint="eastAsia" w:ascii="微软雅黑" w:hAnsi="微软雅黑" w:eastAsia="微软雅黑" w:cs="微软雅黑"/>
          <w:color w:val="000000" w:themeColor="text1"/>
          <w:sz w:val="24"/>
          <w:szCs w:val="24"/>
          <w14:textFill>
            <w14:solidFill>
              <w14:schemeClr w14:val="tx1"/>
            </w14:solidFill>
          </w14:textFill>
        </w:rPr>
        <w:t>约定事项全部完成后失效，但保密条款除外。</w:t>
      </w:r>
    </w:p>
    <w:p w14:paraId="65EDF5C2">
      <w:pPr>
        <w:tabs>
          <w:tab w:val="left" w:pos="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2.本合同一式</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份，甲方持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份，乙方持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份，具有同等法律效力。</w:t>
      </w:r>
    </w:p>
    <w:p w14:paraId="74F9F20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3.在本合同执行过程中，如发现相关事项约定不明确，或者履行其他事项受到限制需要增加、调整约定事项的，甲乙双方可对本合同相关条款进行变更，并签订补充协议或者重新签订合同。</w:t>
      </w:r>
    </w:p>
    <w:p w14:paraId="19D942EC">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w:t>
      </w:r>
      <w:r>
        <w:rPr>
          <w:rFonts w:hint="eastAsia" w:ascii="微软雅黑" w:hAnsi="微软雅黑" w:eastAsia="微软雅黑" w:cs="微软雅黑"/>
          <w:color w:val="000000" w:themeColor="text1"/>
          <w:kern w:val="0"/>
          <w:sz w:val="24"/>
          <w:szCs w:val="24"/>
          <w:lang w:bidi="ar"/>
          <w14:textFill>
            <w14:solidFill>
              <w14:schemeClr w14:val="tx1"/>
            </w14:solidFill>
          </w14:textFill>
        </w:rPr>
        <w:t>送达地址以及送达条款</w:t>
      </w:r>
    </w:p>
    <w:p w14:paraId="287DD772">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（1）送达地址以及方式</w:t>
      </w:r>
    </w:p>
    <w:p w14:paraId="6D655F77">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送达地址</w:t>
      </w:r>
    </w:p>
    <w:p w14:paraId="33682778">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甲方确认送达地址如下：</w:t>
      </w:r>
    </w:p>
    <w:p w14:paraId="5B2DFB83">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地址：    省    市    区/县    路    号，</w:t>
      </w:r>
    </w:p>
    <w:p w14:paraId="30A412C5">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邮编：            ，</w:t>
      </w:r>
    </w:p>
    <w:p w14:paraId="3906F3CC">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联系人：      ，</w:t>
      </w:r>
    </w:p>
    <w:p w14:paraId="39DDA55F">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联系电话：      -            。</w:t>
      </w:r>
    </w:p>
    <w:p w14:paraId="56C692FB">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甲方电子送达方式如下：</w:t>
      </w:r>
    </w:p>
    <w:p w14:paraId="1DE4806F">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手机短信：                  </w:t>
      </w:r>
    </w:p>
    <w:p w14:paraId="3B05791E">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传真：      -            </w:t>
      </w:r>
    </w:p>
    <w:p w14:paraId="4C4B88C5">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即时通讯账号（微信号）：                  </w:t>
      </w:r>
    </w:p>
    <w:p w14:paraId="23E30ADF">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电子邮箱：            。</w:t>
      </w:r>
    </w:p>
    <w:p w14:paraId="740BD1B0">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p>
    <w:p w14:paraId="201AFE55">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乙方确认送达地址如下：</w:t>
      </w:r>
    </w:p>
    <w:p w14:paraId="2CD12897">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地址：    省    市    区/县    路    号，</w:t>
      </w:r>
    </w:p>
    <w:p w14:paraId="31F4ACF2">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邮编：            ，</w:t>
      </w:r>
    </w:p>
    <w:p w14:paraId="6A4BF9C2">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联系人：      ，</w:t>
      </w:r>
    </w:p>
    <w:p w14:paraId="74F50FD2">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联系电话：      -            。</w:t>
      </w:r>
    </w:p>
    <w:p w14:paraId="389D1FAC">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乙方电子送达方式如下：</w:t>
      </w:r>
    </w:p>
    <w:p w14:paraId="5321CC9C">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手机短信：                  </w:t>
      </w:r>
    </w:p>
    <w:p w14:paraId="1BB81E85">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传真：      -            </w:t>
      </w:r>
    </w:p>
    <w:p w14:paraId="25CD3308">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即时通讯账号（微信号）：                  </w:t>
      </w:r>
    </w:p>
    <w:p w14:paraId="6DC1D90D">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电子邮箱：</w:t>
      </w:r>
    </w:p>
    <w:p w14:paraId="636A3B93">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送达方式</w:t>
      </w:r>
    </w:p>
    <w:p w14:paraId="2AA4FC7E">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双方同意，本合同项下的通知、函件、诉讼文书等文件，以下列方式送达对方：</w:t>
      </w:r>
    </w:p>
    <w:p w14:paraId="3BE341BE">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直接送达：将文件送至对方指定的送达地址，视为已送达；</w:t>
      </w:r>
    </w:p>
    <w:p w14:paraId="15F25A6F">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邮寄送达：将文件通过挂号信、特快专递等方式寄至对方指定的送达地址，以邮戳日期为准，视为已送达；</w:t>
      </w:r>
    </w:p>
    <w:p w14:paraId="4368A896">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电子送达：将文件通过电子邮件、短信、微信等方式发送至对方指定的电子邮箱、手机号码等，发送成功即视为已送达。</w:t>
      </w:r>
    </w:p>
    <w:p w14:paraId="693BD9B9">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（2）送达条款</w:t>
      </w:r>
    </w:p>
    <w:p w14:paraId="59A9C7A7">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本送达条款适用于合同履行期间及合同纠纷解决过程中的所有文件送达。</w:t>
      </w:r>
    </w:p>
    <w:p w14:paraId="59764F89">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77B3B2A6">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双方在合同履行过程中由双方共同明示或默示确认的合同约定外的送达地址和联系方式不影响送达效力。</w:t>
      </w:r>
    </w:p>
    <w:p w14:paraId="6ABA0EA5">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3DDB7DEA">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0566366D">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双方发生争议，关于裁判机构的送达文书，接收方存在以下行为之一的，</w:t>
      </w:r>
      <w:r>
        <w:rPr>
          <w:rFonts w:hint="eastAsia" w:ascii="微软雅黑" w:hAnsi="微软雅黑" w:eastAsia="微软雅黑" w:cs="微软雅黑"/>
          <w:color w:val="000000" w:themeColor="text1"/>
          <w:kern w:val="0"/>
          <w:sz w:val="24"/>
          <w:szCs w:val="24"/>
          <w:lang w:eastAsia="zh-CN" w:bidi="ar"/>
          <w14:textFill>
            <w14:solidFill>
              <w14:schemeClr w14:val="tx1"/>
            </w14:solidFill>
          </w14:textFill>
        </w:rPr>
        <w:t>蚌埠</w:t>
      </w:r>
      <w:r>
        <w:rPr>
          <w:rFonts w:hint="eastAsia" w:ascii="微软雅黑" w:hAnsi="微软雅黑" w:eastAsia="微软雅黑" w:cs="微软雅黑"/>
          <w:color w:val="000000" w:themeColor="text1"/>
          <w:kern w:val="0"/>
          <w:sz w:val="24"/>
          <w:szCs w:val="24"/>
          <w:lang w:bidi="ar"/>
          <w14:textFill>
            <w14:solidFill>
              <w14:schemeClr w14:val="tx1"/>
            </w14:solidFill>
          </w14:textFill>
        </w:rPr>
        <w:t>仲裁委员会有权依据法律和适时有效的仲裁规则规定进行送达，法律与仲裁规则规定程序完成之日，视为送达成功：</w:t>
      </w:r>
    </w:p>
    <w:p w14:paraId="29CE4747">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擅自变更送达地址及信息且未及时通知对方的；</w:t>
      </w:r>
    </w:p>
    <w:p w14:paraId="1D42CEF4">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送达地址与信息同工商登记信息不一致且未及时更改的；</w:t>
      </w:r>
    </w:p>
    <w:p w14:paraId="1747A16F">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故意不接收</w:t>
      </w:r>
      <w:r>
        <w:rPr>
          <w:rFonts w:hint="eastAsia" w:ascii="微软雅黑" w:hAnsi="微软雅黑" w:eastAsia="微软雅黑" w:cs="微软雅黑"/>
          <w:color w:val="000000" w:themeColor="text1"/>
          <w:kern w:val="0"/>
          <w:sz w:val="24"/>
          <w:szCs w:val="24"/>
          <w:lang w:eastAsia="zh-CN" w:bidi="ar"/>
          <w14:textFill>
            <w14:solidFill>
              <w14:schemeClr w14:val="tx1"/>
            </w14:solidFill>
          </w14:textFill>
        </w:rPr>
        <w:t>蚌埠</w:t>
      </w:r>
      <w:r>
        <w:rPr>
          <w:rFonts w:hint="eastAsia" w:ascii="微软雅黑" w:hAnsi="微软雅黑" w:eastAsia="微软雅黑" w:cs="微软雅黑"/>
          <w:color w:val="000000" w:themeColor="text1"/>
          <w:kern w:val="0"/>
          <w:sz w:val="24"/>
          <w:szCs w:val="24"/>
          <w:lang w:bidi="ar"/>
          <w14:textFill>
            <w14:solidFill>
              <w14:schemeClr w14:val="tx1"/>
            </w14:solidFill>
          </w14:textFill>
        </w:rPr>
        <w:t>仲裁委员会送达文书的；</w:t>
      </w:r>
    </w:p>
    <w:p w14:paraId="756E751C">
      <w:pPr>
        <w:tabs>
          <w:tab w:val="left" w:pos="0"/>
          <w:tab w:val="left" w:pos="2800"/>
        </w:tabs>
        <w:spacing w:line="360" w:lineRule="auto"/>
        <w:ind w:firstLine="480" w:firstLineChars="200"/>
        <w:rPr>
          <w:rFonts w:hint="eastAsia" w:ascii="微软雅黑" w:hAnsi="微软雅黑" w:eastAsia="微软雅黑" w:cs="微软雅黑"/>
          <w:bCs/>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因接收方过错造成无法正常送达的其他行为。</w:t>
      </w:r>
    </w:p>
    <w:p w14:paraId="298FA9C9">
      <w:pPr>
        <w:tabs>
          <w:tab w:val="left" w:pos="0"/>
          <w:tab w:val="left" w:pos="2800"/>
        </w:tabs>
        <w:spacing w:line="360" w:lineRule="auto"/>
        <w:ind w:firstLine="480" w:firstLineChars="200"/>
        <w:rPr>
          <w:rFonts w:hint="eastAsia" w:ascii="微软雅黑" w:hAnsi="微软雅黑" w:eastAsia="微软雅黑" w:cs="微软雅黑"/>
          <w:bCs/>
          <w:color w:val="000000" w:themeColor="text1"/>
          <w:sz w:val="24"/>
          <w:szCs w:val="24"/>
          <w:u w:val="single"/>
          <w14:textFill>
            <w14:solidFill>
              <w14:schemeClr w14:val="tx1"/>
            </w14:solidFill>
          </w14:textFill>
        </w:rPr>
      </w:pPr>
    </w:p>
    <w:p w14:paraId="07714C2E">
      <w:pPr>
        <w:tabs>
          <w:tab w:val="left" w:pos="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2084311E">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p>
    <w:p w14:paraId="0A5D0C6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（盖章）：</w:t>
      </w:r>
    </w:p>
    <w:p w14:paraId="2EB2010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DDEE83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6B7FBBC1">
      <w:pPr>
        <w:tabs>
          <w:tab w:val="left" w:pos="72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1E52CE6E">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p>
    <w:p w14:paraId="69C61A6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6FF0472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6FE6533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72128FA2">
      <w:pPr>
        <w:tabs>
          <w:tab w:val="left" w:pos="72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4D1D3E66">
      <w:pPr>
        <w:tabs>
          <w:tab w:val="left" w:pos="72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5EFB55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签订时间：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w:t>
      </w:r>
    </w:p>
    <w:p w14:paraId="080C556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签订地点：</w:t>
      </w:r>
    </w:p>
    <w:p w14:paraId="5C34E386">
      <w:pPr>
        <w:spacing w:line="360" w:lineRule="auto"/>
        <w:rPr>
          <w:rFonts w:hint="eastAsia" w:ascii="微软雅黑" w:hAnsi="微软雅黑" w:eastAsia="微软雅黑" w:cs="微软雅黑"/>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03679">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EC5FAE">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BEC5FAE">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zYWQxZTcyYjdjYTgxNDFiOGQ4OWQxNTczZDJmZWQifQ=="/>
  </w:docVars>
  <w:rsids>
    <w:rsidRoot w:val="0DD11310"/>
    <w:rsid w:val="000F7AD9"/>
    <w:rsid w:val="002375B6"/>
    <w:rsid w:val="008E7A14"/>
    <w:rsid w:val="08D33526"/>
    <w:rsid w:val="0DD11310"/>
    <w:rsid w:val="1D9A7E36"/>
    <w:rsid w:val="22130B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link w:val="12"/>
    <w:semiHidden/>
    <w:unhideWhenUsed/>
    <w:qFormat/>
    <w:uiPriority w:val="0"/>
    <w:pPr>
      <w:keepNext/>
      <w:keepLines/>
      <w:spacing w:before="260" w:after="260" w:line="415" w:lineRule="auto"/>
      <w:jc w:val="center"/>
      <w:outlineLvl w:val="2"/>
    </w:pPr>
    <w:rPr>
      <w:rFonts w:hint="eastAsia" w:ascii="等线" w:hAnsi="等线" w:eastAsia="宋体" w:cs="Times New Roman"/>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jc w:val="left"/>
    </w:pPr>
    <w:rPr>
      <w:sz w:val="18"/>
    </w:rPr>
  </w:style>
  <w:style w:type="paragraph" w:styleId="4">
    <w:name w:val="header"/>
    <w:basedOn w:val="1"/>
    <w:link w:val="13"/>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widowControl/>
      <w:spacing w:before="100" w:beforeAutospacing="1" w:after="100" w:afterAutospacing="1" w:line="336" w:lineRule="auto"/>
      <w:jc w:val="left"/>
    </w:pPr>
    <w:rPr>
      <w:rFonts w:ascii="宋体" w:hAnsi="宋体" w:cs="宋体"/>
      <w:kern w:val="0"/>
      <w:sz w:val="24"/>
    </w:rPr>
  </w:style>
  <w:style w:type="character" w:customStyle="1" w:styleId="8">
    <w:name w:val="页眉 字符1"/>
    <w:basedOn w:val="7"/>
    <w:qFormat/>
    <w:uiPriority w:val="0"/>
    <w:rPr>
      <w:sz w:val="18"/>
      <w:szCs w:val="18"/>
    </w:rPr>
  </w:style>
  <w:style w:type="character" w:customStyle="1" w:styleId="9">
    <w:name w:val="页脚 字符"/>
    <w:basedOn w:val="7"/>
    <w:link w:val="3"/>
    <w:qFormat/>
    <w:uiPriority w:val="0"/>
    <w:rPr>
      <w:sz w:val="18"/>
      <w:szCs w:val="18"/>
    </w:rPr>
  </w:style>
  <w:style w:type="character" w:customStyle="1" w:styleId="10">
    <w:name w:val="页脚 字符1"/>
    <w:basedOn w:val="7"/>
    <w:qFormat/>
    <w:uiPriority w:val="0"/>
    <w:rPr>
      <w:sz w:val="18"/>
      <w:szCs w:val="18"/>
    </w:rPr>
  </w:style>
  <w:style w:type="paragraph" w:customStyle="1" w:styleId="11">
    <w:name w:val="msolistparagraph"/>
    <w:basedOn w:val="1"/>
    <w:qFormat/>
    <w:uiPriority w:val="0"/>
    <w:pPr>
      <w:ind w:firstLine="420" w:firstLineChars="200"/>
    </w:pPr>
    <w:rPr>
      <w:rFonts w:hint="eastAsia" w:ascii="等线" w:hAnsi="等线" w:eastAsia="等线" w:cs="Times New Roman"/>
      <w:szCs w:val="22"/>
    </w:rPr>
  </w:style>
  <w:style w:type="character" w:customStyle="1" w:styleId="12">
    <w:name w:val="标题 3 字符"/>
    <w:basedOn w:val="7"/>
    <w:link w:val="2"/>
    <w:qFormat/>
    <w:uiPriority w:val="0"/>
    <w:rPr>
      <w:rFonts w:hint="eastAsia" w:ascii="宋体" w:hAnsi="宋体" w:eastAsia="宋体" w:cs="宋体"/>
      <w:b/>
      <w:bCs/>
      <w:sz w:val="32"/>
      <w:szCs w:val="32"/>
    </w:rPr>
  </w:style>
  <w:style w:type="character" w:customStyle="1" w:styleId="13">
    <w:name w:val="页眉 字符"/>
    <w:basedOn w:val="7"/>
    <w:link w:val="4"/>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3279</Words>
  <Characters>3321</Characters>
  <Lines>24</Lines>
  <Paragraphs>6</Paragraphs>
  <TotalTime>0</TotalTime>
  <ScaleCrop>false</ScaleCrop>
  <LinksUpToDate>false</LinksUpToDate>
  <CharactersWithSpaces>3776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2023-07-26T05:37:00Z</dcterms:created>
  <dc:creator>差不多先生</dc:creator>
  <cp:lastModifiedBy>豪</cp:lastModifiedBy>
  <dcterms:modified xsi:type="dcterms:W3CDTF">2026-03-22T07:32:58Z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D5053ACE4CD84FB18D08778D07AAC89C_11</vt:lpwstr>
  </property>
  <property fmtid="{D5CDD505-2E9C-101B-9397-08002B2CF9AE}" pid="4" name="KSOTemplateDocerSaveRecord">
    <vt:lpwstr>eyJoZGlkIjoiNTg0MzMyNGJiMDEzODc5ODNlMGVjODViOWRkZjg1MDgiLCJ1c2VySWQiOiIxMjc2Mzc3NjgxIn0=</vt:lpwstr>
  </property>
</Properties>
</file>