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B1D7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jc w:val="center"/>
        <w:textAlignment w:val="auto"/>
        <w:rPr>
          <w:rFonts w:ascii="楷体" w:hAnsi="楷体" w:eastAsia="楷体"/>
          <w:color w:val="000000" w:themeColor="text1"/>
          <w:sz w:val="36"/>
          <w:szCs w:val="36"/>
          <w14:textFill>
            <w14:solidFill>
              <w14:schemeClr w14:val="tx1"/>
            </w14:solidFill>
          </w14:textFill>
        </w:rPr>
      </w:pPr>
      <w:bookmarkStart w:id="1" w:name="_GoBack"/>
      <w:bookmarkStart w:id="0" w:name="_Toc29388"/>
    </w:p>
    <w:p w14:paraId="43C56C8B">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jc w:val="center"/>
        <w:textAlignment w:val="auto"/>
        <w:outlineLvl w:val="0"/>
        <w:rPr>
          <w:rFonts w:hint="eastAsia" w:ascii="微软雅黑" w:hAnsi="微软雅黑" w:eastAsia="微软雅黑" w:cs="微软雅黑"/>
          <w:b/>
          <w:bCs/>
          <w:color w:val="000000" w:themeColor="text1"/>
          <w:spacing w:val="57"/>
          <w:sz w:val="36"/>
          <w:szCs w:val="36"/>
          <w14:textFill>
            <w14:solidFill>
              <w14:schemeClr w14:val="tx1"/>
            </w14:solidFill>
          </w14:textFill>
        </w:rPr>
      </w:pPr>
      <w:r>
        <w:rPr>
          <w:rFonts w:hint="eastAsia" w:ascii="微软雅黑" w:hAnsi="微软雅黑" w:eastAsia="微软雅黑" w:cs="微软雅黑"/>
          <w:b/>
          <w:bCs/>
          <w:color w:val="000000" w:themeColor="text1"/>
          <w:spacing w:val="57"/>
          <w:sz w:val="36"/>
          <w:szCs w:val="36"/>
          <w14:textFill>
            <w14:solidFill>
              <w14:schemeClr w14:val="tx1"/>
            </w14:solidFill>
          </w14:textFill>
        </w:rPr>
        <w:t>场地租赁合同</w:t>
      </w:r>
      <w:bookmarkEnd w:id="0"/>
    </w:p>
    <w:p w14:paraId="7616E63F">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jc w:val="center"/>
        <w:textAlignment w:val="auto"/>
        <w:outlineLvl w:val="0"/>
        <w:rPr>
          <w:rFonts w:hint="eastAsia" w:ascii="微软雅黑" w:hAnsi="微软雅黑" w:eastAsia="微软雅黑" w:cs="微软雅黑"/>
          <w:bCs/>
          <w:color w:val="000000" w:themeColor="text1"/>
          <w:sz w:val="36"/>
          <w:szCs w:val="36"/>
          <w14:textFill>
            <w14:solidFill>
              <w14:schemeClr w14:val="tx1"/>
            </w14:solidFill>
          </w14:textFill>
        </w:rPr>
      </w:pPr>
      <w:r>
        <w:rPr>
          <w:rFonts w:hint="eastAsia" w:ascii="微软雅黑" w:hAnsi="微软雅黑" w:eastAsia="微软雅黑" w:cs="微软雅黑"/>
          <w:bCs/>
          <w:color w:val="000000" w:themeColor="text1"/>
          <w:sz w:val="36"/>
          <w:szCs w:val="36"/>
          <w14:textFill>
            <w14:solidFill>
              <w14:schemeClr w14:val="tx1"/>
            </w14:solidFill>
          </w14:textFill>
        </w:rPr>
        <w:t>(适用于承租方)</w:t>
      </w:r>
    </w:p>
    <w:bookmarkEnd w:id="1"/>
    <w:p w14:paraId="467EA6D6">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jc w:val="center"/>
        <w:textAlignment w:val="auto"/>
        <w:outlineLvl w:val="0"/>
        <w:rPr>
          <w:rFonts w:hint="eastAsia" w:ascii="微软雅黑" w:hAnsi="微软雅黑" w:eastAsia="微软雅黑" w:cs="微软雅黑"/>
          <w:b/>
          <w:bCs/>
          <w:color w:val="000000" w:themeColor="text1"/>
          <w:sz w:val="28"/>
          <w:szCs w:val="28"/>
          <w14:textFill>
            <w14:solidFill>
              <w14:schemeClr w14:val="tx1"/>
            </w14:solidFill>
          </w14:textFill>
        </w:rPr>
      </w:pPr>
    </w:p>
    <w:p w14:paraId="1EAF93F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firstLine="560" w:firstLineChars="200"/>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甲方（出租方）：</w:t>
      </w:r>
    </w:p>
    <w:p w14:paraId="7DFE9EE6">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firstLine="560" w:firstLineChars="200"/>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统一社会信用代码：</w:t>
      </w:r>
    </w:p>
    <w:p w14:paraId="1F41A4DD">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firstLine="560" w:firstLineChars="200"/>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乙方（承租方）：</w:t>
      </w:r>
    </w:p>
    <w:p w14:paraId="29B5C80E">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firstLine="560" w:firstLineChars="200"/>
        <w:textAlignment w:val="auto"/>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统一社会信用代码：</w:t>
      </w:r>
    </w:p>
    <w:p w14:paraId="4235B0B3">
      <w:pPr>
        <w:pStyle w:val="3"/>
        <w:widowControl/>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p>
    <w:p w14:paraId="36C47425">
      <w:pPr>
        <w:pStyle w:val="3"/>
        <w:widowControl/>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依据《中华人民共和国</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民法典</w:t>
      </w:r>
      <w:r>
        <w:rPr>
          <w:rFonts w:hint="eastAsia" w:ascii="微软雅黑" w:hAnsi="微软雅黑" w:eastAsia="微软雅黑" w:cs="微软雅黑"/>
          <w:color w:val="000000" w:themeColor="text1"/>
          <w:sz w:val="28"/>
          <w:szCs w:val="28"/>
          <w14:textFill>
            <w14:solidFill>
              <w14:schemeClr w14:val="tx1"/>
            </w14:solidFill>
          </w14:textFill>
        </w:rPr>
        <w:t>》及有关法律、法规的规定，甲乙双方在平等、自愿的基础上，就租赁甲方场地开展业务活动的有关事宜达成合同如下：</w:t>
      </w:r>
    </w:p>
    <w:p w14:paraId="38CA8E4F">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租赁场地基本情况</w:t>
      </w:r>
    </w:p>
    <w:p w14:paraId="2206B3E9">
      <w:pPr>
        <w:pStyle w:val="3"/>
        <w:widowControl/>
        <w:numPr>
          <w:ilvl w:val="0"/>
          <w:numId w:val="2"/>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场地位置：</w:t>
      </w:r>
    </w:p>
    <w:p w14:paraId="0E0FB074">
      <w:pPr>
        <w:pStyle w:val="3"/>
        <w:widowControl/>
        <w:numPr>
          <w:ilvl w:val="0"/>
          <w:numId w:val="2"/>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甲方是该场地的合法产权所有人，产权证号为：</w:t>
      </w:r>
    </w:p>
    <w:p w14:paraId="530366DD">
      <w:pPr>
        <w:pStyle w:val="3"/>
        <w:widowControl/>
        <w:numPr>
          <w:ilvl w:val="0"/>
          <w:numId w:val="2"/>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租赁场地面积：</w:t>
      </w:r>
    </w:p>
    <w:p w14:paraId="6F8982F1">
      <w:pPr>
        <w:pStyle w:val="3"/>
        <w:widowControl/>
        <w:numPr>
          <w:ilvl w:val="0"/>
          <w:numId w:val="2"/>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经营项目：</w:t>
      </w:r>
    </w:p>
    <w:p w14:paraId="1315A9F1">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租赁期限</w:t>
      </w:r>
    </w:p>
    <w:p w14:paraId="1687249E">
      <w:pPr>
        <w:pStyle w:val="3"/>
        <w:widowControl/>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1. 租赁期自</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年</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月</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日至</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年</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月</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日，共计</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月，甲方逾期交付的，租赁期限以实际移交场地之日起计算。</w:t>
      </w:r>
    </w:p>
    <w:p w14:paraId="7DD7B59E">
      <w:pPr>
        <w:pStyle w:val="3"/>
        <w:widowControl/>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2. 租赁期满，乙方若要求续租的，同等条件下乙方享有优先承租权。</w:t>
      </w:r>
    </w:p>
    <w:p w14:paraId="289D6B23">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租金及支付方式</w:t>
      </w:r>
    </w:p>
    <w:p w14:paraId="60AFBFF1">
      <w:pPr>
        <w:widowControl/>
        <w:numPr>
          <w:ilvl w:val="0"/>
          <w:numId w:val="3"/>
        </w:num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租金单价为每平方米每月</w:t>
      </w:r>
      <w:r>
        <w:rPr>
          <w:rFonts w:hint="eastAsia" w:ascii="微软雅黑" w:hAnsi="微软雅黑" w:eastAsia="微软雅黑" w:cs="微软雅黑"/>
          <w:color w:val="000000" w:themeColor="text1"/>
          <w:spacing w:val="4"/>
          <w:sz w:val="28"/>
          <w:szCs w:val="28"/>
          <w14:textFill>
            <w14:solidFill>
              <w14:schemeClr w14:val="tx1"/>
            </w14:solidFill>
          </w14:textFill>
        </w:rPr>
        <w:t>¥</w:t>
      </w:r>
      <w:r>
        <w:rPr>
          <w:rFonts w:hint="eastAsia" w:ascii="微软雅黑" w:hAnsi="微软雅黑" w:eastAsia="微软雅黑" w:cs="微软雅黑"/>
          <w:b w:val="0"/>
          <w:bCs w:val="0"/>
          <w:color w:val="000000" w:themeColor="text1"/>
          <w:spacing w:val="4"/>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pacing w:val="4"/>
          <w:sz w:val="28"/>
          <w:szCs w:val="28"/>
          <w14:textFill>
            <w14:solidFill>
              <w14:schemeClr w14:val="tx1"/>
            </w14:solidFill>
          </w14:textFill>
        </w:rPr>
        <w:t>元（大写：人民币</w:t>
      </w:r>
      <w:r>
        <w:rPr>
          <w:rFonts w:hint="eastAsia" w:ascii="微软雅黑" w:hAnsi="微软雅黑" w:eastAsia="微软雅黑" w:cs="微软雅黑"/>
          <w:color w:val="000000" w:themeColor="text1"/>
          <w:spacing w:val="4"/>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pacing w:val="4"/>
          <w:sz w:val="28"/>
          <w:szCs w:val="28"/>
          <w14:textFill>
            <w14:solidFill>
              <w14:schemeClr w14:val="tx1"/>
            </w14:solidFill>
          </w14:textFill>
        </w:rPr>
        <w:t>元）</w:t>
      </w:r>
      <w:r>
        <w:rPr>
          <w:rFonts w:hint="eastAsia" w:ascii="微软雅黑" w:hAnsi="微软雅黑" w:eastAsia="微软雅黑" w:cs="微软雅黑"/>
          <w:color w:val="000000" w:themeColor="text1"/>
          <w:sz w:val="28"/>
          <w:szCs w:val="28"/>
          <w14:textFill>
            <w14:solidFill>
              <w14:schemeClr w14:val="tx1"/>
            </w14:solidFill>
          </w14:textFill>
        </w:rPr>
        <w:t>，租赁期内合计</w:t>
      </w:r>
      <w:r>
        <w:rPr>
          <w:rFonts w:hint="eastAsia" w:ascii="微软雅黑" w:hAnsi="微软雅黑" w:eastAsia="微软雅黑" w:cs="微软雅黑"/>
          <w:color w:val="000000" w:themeColor="text1"/>
          <w:spacing w:val="4"/>
          <w:sz w:val="28"/>
          <w:szCs w:val="28"/>
          <w14:textFill>
            <w14:solidFill>
              <w14:schemeClr w14:val="tx1"/>
            </w14:solidFill>
          </w14:textFill>
        </w:rPr>
        <w:t>¥</w:t>
      </w:r>
      <w:r>
        <w:rPr>
          <w:rFonts w:hint="eastAsia" w:ascii="微软雅黑" w:hAnsi="微软雅黑" w:eastAsia="微软雅黑" w:cs="微软雅黑"/>
          <w:color w:val="000000" w:themeColor="text1"/>
          <w:spacing w:val="4"/>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pacing w:val="4"/>
          <w:sz w:val="28"/>
          <w:szCs w:val="28"/>
          <w14:textFill>
            <w14:solidFill>
              <w14:schemeClr w14:val="tx1"/>
            </w14:solidFill>
          </w14:textFill>
        </w:rPr>
        <w:t>元（大写：人民币</w:t>
      </w:r>
      <w:r>
        <w:rPr>
          <w:rFonts w:hint="eastAsia" w:ascii="微软雅黑" w:hAnsi="微软雅黑" w:eastAsia="微软雅黑" w:cs="微软雅黑"/>
          <w:color w:val="000000" w:themeColor="text1"/>
          <w:spacing w:val="4"/>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pacing w:val="4"/>
          <w:sz w:val="28"/>
          <w:szCs w:val="28"/>
          <w14:textFill>
            <w14:solidFill>
              <w14:schemeClr w14:val="tx1"/>
            </w14:solidFill>
          </w14:textFill>
        </w:rPr>
        <w:t>元）</w:t>
      </w:r>
      <w:r>
        <w:rPr>
          <w:rFonts w:hint="eastAsia" w:ascii="微软雅黑" w:hAnsi="微软雅黑" w:eastAsia="微软雅黑" w:cs="微软雅黑"/>
          <w:color w:val="000000" w:themeColor="text1"/>
          <w:sz w:val="28"/>
          <w:szCs w:val="28"/>
          <w14:textFill>
            <w14:solidFill>
              <w14:schemeClr w14:val="tx1"/>
            </w14:solidFill>
          </w14:textFill>
        </w:rPr>
        <w:t>。该价格为含税价。</w:t>
      </w:r>
    </w:p>
    <w:p w14:paraId="7BAF8B6D">
      <w:pPr>
        <w:numPr>
          <w:ilvl w:val="0"/>
          <w:numId w:val="3"/>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租金按季度支付，每季度第</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个月的</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日前，付清该季度租金。</w:t>
      </w:r>
    </w:p>
    <w:p w14:paraId="01F41D68">
      <w:pPr>
        <w:numPr>
          <w:ilvl w:val="0"/>
          <w:numId w:val="3"/>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付款方式：□现金/□转账/□支票/□其他方式：。以转账方式支付的，</w:t>
      </w:r>
      <w:r>
        <w:rPr>
          <w:rFonts w:hint="eastAsia" w:ascii="微软雅黑" w:hAnsi="微软雅黑" w:eastAsia="微软雅黑" w:cs="微软雅黑"/>
          <w:color w:val="000000" w:themeColor="text1"/>
          <w:spacing w:val="4"/>
          <w:sz w:val="28"/>
          <w:szCs w:val="28"/>
          <w14:textFill>
            <w14:solidFill>
              <w14:schemeClr w14:val="tx1"/>
            </w14:solidFill>
          </w14:textFill>
        </w:rPr>
        <w:t>乙方应将应付费用汇入甲方如下银行账户，</w:t>
      </w:r>
      <w:r>
        <w:rPr>
          <w:rFonts w:hint="eastAsia" w:ascii="微软雅黑" w:hAnsi="微软雅黑" w:eastAsia="微软雅黑" w:cs="微软雅黑"/>
          <w:color w:val="000000" w:themeColor="text1"/>
          <w:sz w:val="28"/>
          <w:szCs w:val="28"/>
          <w14:textFill>
            <w14:solidFill>
              <w14:schemeClr w14:val="tx1"/>
            </w14:solidFill>
          </w14:textFill>
        </w:rPr>
        <w:t>款项全额到账的时间为乙方实际付款时间：</w:t>
      </w:r>
    </w:p>
    <w:p w14:paraId="1E7A89F3">
      <w:p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u w:val="single"/>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开户行：</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p>
    <w:p w14:paraId="2BDEC8D4">
      <w:p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u w:val="single"/>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账号：</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p>
    <w:p w14:paraId="0FFBA669">
      <w:p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u w:val="single"/>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 xml:space="preserve">户名: </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p>
    <w:p w14:paraId="3382EA0F">
      <w:pPr>
        <w:numPr>
          <w:ilvl w:val="0"/>
          <w:numId w:val="3"/>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甲方收款前向乙方开具准确无误且合法有效的发票，乙方收到发票后支付租金。</w:t>
      </w:r>
    </w:p>
    <w:p w14:paraId="5744396F">
      <w:pPr>
        <w:numPr>
          <w:ilvl w:val="0"/>
          <w:numId w:val="3"/>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乙方使用租赁场地产生的除租金以外的水电费、物管费、垃圾清运费、网络使用费等，自场地交付之日起，乙方应按时按实际发生额向相关部门或代收代缴单位缴纳。</w:t>
      </w:r>
    </w:p>
    <w:p w14:paraId="601C4526">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交付和返还</w:t>
      </w:r>
    </w:p>
    <w:p w14:paraId="37A15C10">
      <w:pPr>
        <w:pStyle w:val="3"/>
        <w:widowControl/>
        <w:numPr>
          <w:ilvl w:val="0"/>
          <w:numId w:val="4"/>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甲方应在租期开始计算时将场地交付给乙方使用。</w:t>
      </w:r>
    </w:p>
    <w:p w14:paraId="6A37B5C7">
      <w:pPr>
        <w:pStyle w:val="3"/>
        <w:widowControl/>
        <w:numPr>
          <w:ilvl w:val="0"/>
          <w:numId w:val="4"/>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租赁期限届满后7天内，乙方应当将场地恢复原状返还甲方。</w:t>
      </w:r>
    </w:p>
    <w:p w14:paraId="4A2CBB02">
      <w:pPr>
        <w:pStyle w:val="3"/>
        <w:widowControl/>
        <w:numPr>
          <w:ilvl w:val="0"/>
          <w:numId w:val="4"/>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如遇国家需要征用征收、拆迁甲方场地时，甲方提前3个月通知乙方，双方互不承担违约责任，乙方应及时返还甲方租赁场地，剩余未到期的租金甲方退还给乙方。</w:t>
      </w:r>
    </w:p>
    <w:p w14:paraId="6C962A80">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场地使用要求</w:t>
      </w:r>
    </w:p>
    <w:p w14:paraId="665A7781">
      <w:pPr>
        <w:pStyle w:val="3"/>
        <w:widowControl/>
        <w:numPr>
          <w:ilvl w:val="0"/>
          <w:numId w:val="5"/>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甲方应保证该场地的出租不违反国家法律法规的相关规定并保证甲方有权决定此租赁事宜。</w:t>
      </w:r>
    </w:p>
    <w:p w14:paraId="4A8BD9FF">
      <w:pPr>
        <w:pStyle w:val="3"/>
        <w:widowControl/>
        <w:numPr>
          <w:ilvl w:val="0"/>
          <w:numId w:val="5"/>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乙方应具备合法的经营执照和相关证照，保证经营项目的合法性。</w:t>
      </w:r>
    </w:p>
    <w:p w14:paraId="783CE115">
      <w:pPr>
        <w:pStyle w:val="3"/>
        <w:widowControl/>
        <w:numPr>
          <w:ilvl w:val="0"/>
          <w:numId w:val="5"/>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乙方不得在本合同约定的范围外使用场地。</w:t>
      </w:r>
    </w:p>
    <w:p w14:paraId="45818BB3">
      <w:pPr>
        <w:pStyle w:val="3"/>
        <w:widowControl/>
        <w:numPr>
          <w:ilvl w:val="0"/>
          <w:numId w:val="5"/>
        </w:numPr>
        <w:spacing w:line="360" w:lineRule="auto"/>
        <w:ind w:firstLine="560" w:firstLineChars="200"/>
        <w:jc w:val="both"/>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乙方在合同签订后，有权对租赁场地进行改造、装修，在场地使用期间，搭建、拆除设施设备过程中的安全责任由乙方承担。</w:t>
      </w:r>
    </w:p>
    <w:p w14:paraId="6BBD4C3A">
      <w:pPr>
        <w:numPr>
          <w:ilvl w:val="0"/>
          <w:numId w:val="0"/>
        </w:numPr>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乙方对该物业需要进行转租的，</w:t>
      </w:r>
      <w:r>
        <w:rPr>
          <w:rFonts w:hint="eastAsia" w:ascii="微软雅黑" w:hAnsi="微软雅黑" w:eastAsia="微软雅黑" w:cs="微软雅黑"/>
          <w:color w:val="000000" w:themeColor="text1"/>
          <w:sz w:val="28"/>
          <w:szCs w:val="28"/>
          <w:lang w:val="en-US" w:eastAsia="zh-Hans"/>
          <w14:textFill>
            <w14:solidFill>
              <w14:schemeClr w14:val="tx1"/>
            </w14:solidFill>
          </w14:textFill>
        </w:rPr>
        <w:t>必须征得甲方书面同意。如发生事实转租行为，以甲方书面得知转租事实作为起算《民法典》第</w:t>
      </w:r>
      <w:r>
        <w:rPr>
          <w:rFonts w:hint="eastAsia" w:ascii="微软雅黑" w:hAnsi="微软雅黑" w:eastAsia="微软雅黑" w:cs="微软雅黑"/>
          <w:color w:val="000000" w:themeColor="text1"/>
          <w:sz w:val="28"/>
          <w:szCs w:val="28"/>
          <w:lang w:eastAsia="zh-Hans"/>
          <w14:textFill>
            <w14:solidFill>
              <w14:schemeClr w14:val="tx1"/>
            </w14:solidFill>
          </w14:textFill>
        </w:rPr>
        <w:t>718</w:t>
      </w:r>
      <w:r>
        <w:rPr>
          <w:rFonts w:hint="eastAsia" w:ascii="微软雅黑" w:hAnsi="微软雅黑" w:eastAsia="微软雅黑" w:cs="微软雅黑"/>
          <w:color w:val="000000" w:themeColor="text1"/>
          <w:sz w:val="28"/>
          <w:szCs w:val="28"/>
          <w:lang w:val="en-US" w:eastAsia="zh-Hans"/>
          <w14:textFill>
            <w14:solidFill>
              <w14:schemeClr w14:val="tx1"/>
            </w14:solidFill>
          </w14:textFill>
        </w:rPr>
        <w:t>条规定的</w:t>
      </w:r>
      <w:r>
        <w:rPr>
          <w:rFonts w:hint="eastAsia" w:ascii="微软雅黑" w:hAnsi="微软雅黑" w:eastAsia="微软雅黑" w:cs="微软雅黑"/>
          <w:color w:val="000000" w:themeColor="text1"/>
          <w:sz w:val="28"/>
          <w:szCs w:val="28"/>
          <w:lang w:eastAsia="zh-Hans"/>
          <w14:textFill>
            <w14:solidFill>
              <w14:schemeClr w14:val="tx1"/>
            </w14:solidFill>
          </w14:textFill>
        </w:rPr>
        <w:t>6</w:t>
      </w:r>
      <w:r>
        <w:rPr>
          <w:rFonts w:hint="eastAsia" w:ascii="微软雅黑" w:hAnsi="微软雅黑" w:eastAsia="微软雅黑" w:cs="微软雅黑"/>
          <w:color w:val="000000" w:themeColor="text1"/>
          <w:sz w:val="28"/>
          <w:szCs w:val="28"/>
          <w:lang w:val="en-US" w:eastAsia="zh-Hans"/>
          <w14:textFill>
            <w14:solidFill>
              <w14:schemeClr w14:val="tx1"/>
            </w14:solidFill>
          </w14:textFill>
        </w:rPr>
        <w:t>个月。</w:t>
      </w:r>
    </w:p>
    <w:p w14:paraId="216250F3">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免责条款</w:t>
      </w:r>
    </w:p>
    <w:p w14:paraId="4414440C">
      <w:pPr>
        <w:numPr>
          <w:ilvl w:val="0"/>
          <w:numId w:val="6"/>
        </w:numPr>
        <w:tabs>
          <w:tab w:val="left" w:pos="0"/>
        </w:tabs>
        <w:spacing w:line="360" w:lineRule="auto"/>
        <w:ind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 w:val="0"/>
          <w:bCs w:val="0"/>
          <w:color w:val="000000" w:themeColor="text1"/>
          <w:kern w:val="0"/>
          <w:sz w:val="28"/>
          <w:szCs w:val="28"/>
          <w:shd w:val="clear" w:color="auto" w:fill="auto"/>
          <w:lang w:val="en-US" w:eastAsia="zh-CN" w:bidi="ar"/>
          <w14:textFill>
            <w14:solidFill>
              <w14:schemeClr w14:val="tx1"/>
            </w14:solidFill>
          </w14:textFill>
        </w:rPr>
        <w:t>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r>
        <w:rPr>
          <w:rFonts w:hint="eastAsia" w:ascii="微软雅黑" w:hAnsi="微软雅黑" w:eastAsia="微软雅黑" w:cs="微软雅黑"/>
          <w:bCs/>
          <w:color w:val="000000" w:themeColor="text1"/>
          <w:sz w:val="28"/>
          <w:szCs w:val="28"/>
          <w14:textFill>
            <w14:solidFill>
              <w14:schemeClr w14:val="tx1"/>
            </w14:solidFill>
          </w14:textFill>
        </w:rPr>
        <w:t>。</w:t>
      </w:r>
    </w:p>
    <w:p w14:paraId="65F54063">
      <w:pPr>
        <w:numPr>
          <w:ilvl w:val="0"/>
          <w:numId w:val="6"/>
        </w:numPr>
        <w:tabs>
          <w:tab w:val="left" w:pos="0"/>
        </w:tabs>
        <w:spacing w:line="360" w:lineRule="auto"/>
        <w:ind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当出现双方在订立合同时无法预见的、不属于商业风险的重大变化，双方不能协商变更合同导致合同解除的，双方互不承担违约责任。</w:t>
      </w:r>
    </w:p>
    <w:p w14:paraId="4280B94F">
      <w:pPr>
        <w:numPr>
          <w:ilvl w:val="0"/>
          <w:numId w:val="6"/>
        </w:numPr>
        <w:tabs>
          <w:tab w:val="left" w:pos="0"/>
        </w:tabs>
        <w:spacing w:line="360" w:lineRule="auto"/>
        <w:ind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因治安管理案件或刑事犯罪案件，包括但不限于故意伤害、爆炸、偷盗、抢劫等导致人身伤害或财产损失的，由行为人承担责任。</w:t>
      </w:r>
    </w:p>
    <w:p w14:paraId="41F342BF">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违约责任</w:t>
      </w:r>
    </w:p>
    <w:p w14:paraId="15F9C4CB">
      <w:pPr>
        <w:numPr>
          <w:ilvl w:val="0"/>
          <w:numId w:val="7"/>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甲方未按合同约定的时间将约定场地移交给乙方使用的，每逾期一天，扣除当月租金的10%，逾期30天仍未移交的，乙方有权书面通知甲方解除合同。租赁期内因达不到使用标准或其他甲方原因导致租赁场地不能正常使用的，按本款约定计算违约金。</w:t>
      </w:r>
    </w:p>
    <w:p w14:paraId="47749CCC">
      <w:pPr>
        <w:numPr>
          <w:ilvl w:val="0"/>
          <w:numId w:val="7"/>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租赁期内若非乙方违约甲方单方解除本合同提前收回该场地的，甲方应按年租金的30%向乙方支付违约金，并退还乙方剩余租金。</w:t>
      </w:r>
    </w:p>
    <w:p w14:paraId="4D25473A">
      <w:pPr>
        <w:numPr>
          <w:ilvl w:val="0"/>
          <w:numId w:val="7"/>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乙方未按时足额缴纳租金的，每天应按应付未付金额的万分之五向甲方支付违约金。</w:t>
      </w:r>
    </w:p>
    <w:p w14:paraId="421811AA">
      <w:pPr>
        <w:numPr>
          <w:ilvl w:val="0"/>
          <w:numId w:val="7"/>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租赁期内乙方逾期交纳水电费、电费、燃气费、电话费等有关费用的，乙方须承担因此而造成的一切后果。</w:t>
      </w:r>
    </w:p>
    <w:p w14:paraId="3500707D">
      <w:pPr>
        <w:numPr>
          <w:ilvl w:val="0"/>
          <w:numId w:val="7"/>
        </w:num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乙方在租赁场地上进行违法活动或者拖欠租金30天以上的，甲方有权解除本租赁合同收回租赁场地，且乙方需按实际占用时间交纳租金并承担违约责任</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w:t>
      </w:r>
      <w:r>
        <w:rPr>
          <w:rFonts w:hint="eastAsia" w:ascii="微软雅黑" w:hAnsi="微软雅黑" w:eastAsia="微软雅黑" w:cs="微软雅黑"/>
          <w:color w:val="000000" w:themeColor="text1"/>
          <w:sz w:val="28"/>
          <w:szCs w:val="28"/>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蚌埠仲裁委员会</w:t>
      </w:r>
      <w:r>
        <w:rPr>
          <w:rFonts w:hint="eastAsia" w:ascii="微软雅黑" w:hAnsi="微软雅黑" w:eastAsia="微软雅黑" w:cs="微软雅黑"/>
          <w:color w:val="000000" w:themeColor="text1"/>
          <w:sz w:val="28"/>
          <w:szCs w:val="28"/>
          <w:lang w:val="en-US" w:eastAsia="zh-Hans"/>
          <w14:textFill>
            <w14:solidFill>
              <w14:schemeClr w14:val="tx1"/>
            </w14:solidFill>
          </w14:textFill>
        </w:rPr>
        <w:t>确认解除的效力。</w:t>
      </w:r>
    </w:p>
    <w:p w14:paraId="08966967">
      <w:pPr>
        <w:numPr>
          <w:ilvl w:val="0"/>
          <w:numId w:val="7"/>
        </w:num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合同任何一方违反本合同约定或法律规定，应当赔偿守约方产生的全部损失，包含但不限于：直接损失、预期利益损失、守约方向第三人支付的违约金、赔偿金及守约方为索赔支出的诉讼费、律师费、交通费、保全费、</w:t>
      </w:r>
      <w:r>
        <w:rPr>
          <w:rFonts w:hint="eastAsia" w:ascii="微软雅黑" w:hAnsi="微软雅黑" w:eastAsia="微软雅黑" w:cs="微软雅黑"/>
          <w:bCs/>
          <w:color w:val="000000" w:themeColor="text1"/>
          <w:kern w:val="0"/>
          <w:sz w:val="28"/>
          <w:szCs w:val="28"/>
          <w14:textFill>
            <w14:solidFill>
              <w14:schemeClr w14:val="tx1"/>
            </w14:solidFill>
          </w14:textFill>
        </w:rPr>
        <w:t>保全担保费、鉴定费、公证费、评估费等全部费用。</w:t>
      </w:r>
    </w:p>
    <w:p w14:paraId="5EC71181">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特别约定</w:t>
      </w:r>
    </w:p>
    <w:p w14:paraId="7A95C926">
      <w:pPr>
        <w:numPr>
          <w:ilvl w:val="0"/>
          <w:numId w:val="8"/>
        </w:numPr>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p>
    <w:p w14:paraId="3B7F5241">
      <w:pPr>
        <w:numPr>
          <w:ilvl w:val="0"/>
          <w:numId w:val="8"/>
        </w:numPr>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p>
    <w:p w14:paraId="241A03B3">
      <w:pPr>
        <w:numPr>
          <w:ilvl w:val="0"/>
          <w:numId w:val="8"/>
        </w:numPr>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p>
    <w:p w14:paraId="15BAD1B1">
      <w:pPr>
        <w:pStyle w:val="3"/>
        <w:widowControl/>
        <w:numPr>
          <w:ilvl w:val="0"/>
          <w:numId w:val="1"/>
        </w:numPr>
        <w:spacing w:line="360" w:lineRule="auto"/>
        <w:ind w:firstLine="560" w:firstLineChars="200"/>
        <w:jc w:val="both"/>
        <w:rPr>
          <w:rFonts w:hint="eastAsia" w:ascii="微软雅黑" w:hAnsi="微软雅黑" w:eastAsia="微软雅黑" w:cs="微软雅黑"/>
          <w:b/>
          <w:bCs/>
          <w:color w:val="000000" w:themeColor="text1"/>
          <w:sz w:val="28"/>
          <w:szCs w:val="28"/>
          <w14:textFill>
            <w14:solidFill>
              <w14:schemeClr w14:val="tx1"/>
            </w14:solidFill>
          </w14:textFill>
        </w:rPr>
      </w:pPr>
      <w:r>
        <w:rPr>
          <w:rFonts w:hint="eastAsia" w:ascii="微软雅黑" w:hAnsi="微软雅黑" w:eastAsia="微软雅黑" w:cs="微软雅黑"/>
          <w:b/>
          <w:bCs/>
          <w:color w:val="000000" w:themeColor="text1"/>
          <w:sz w:val="28"/>
          <w:szCs w:val="28"/>
          <w14:textFill>
            <w14:solidFill>
              <w14:schemeClr w14:val="tx1"/>
            </w14:solidFill>
          </w14:textFill>
        </w:rPr>
        <w:t>其他约定</w:t>
      </w:r>
    </w:p>
    <w:p w14:paraId="41DDF2A6">
      <w:pPr>
        <w:numPr>
          <w:ilvl w:val="0"/>
          <w:numId w:val="9"/>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甲、乙双方在履行合同中如发生纠纷，由双方协商处理，协商不成，任何一方可向租赁场地所在地人民法院提起诉讼。</w:t>
      </w:r>
    </w:p>
    <w:p w14:paraId="0A4DC9E4">
      <w:pPr>
        <w:numPr>
          <w:ilvl w:val="0"/>
          <w:numId w:val="9"/>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本合同一式</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份，甲方执</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份，乙方执</w:t>
      </w:r>
      <w:r>
        <w:rPr>
          <w:rFonts w:hint="eastAsia" w:ascii="微软雅黑" w:hAnsi="微软雅黑" w:eastAsia="微软雅黑" w:cs="微软雅黑"/>
          <w:color w:val="000000" w:themeColor="text1"/>
          <w:sz w:val="28"/>
          <w:szCs w:val="28"/>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8"/>
          <w:szCs w:val="28"/>
          <w14:textFill>
            <w14:solidFill>
              <w14:schemeClr w14:val="tx1"/>
            </w14:solidFill>
          </w14:textFill>
        </w:rPr>
        <w:t>份，经双方法定代表人或授权代表签字并加盖公章之日起生效。</w:t>
      </w:r>
    </w:p>
    <w:p w14:paraId="5E0ECCF0">
      <w:pPr>
        <w:numPr>
          <w:ilvl w:val="0"/>
          <w:numId w:val="9"/>
        </w:num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本合同签订后，如有未尽事宜，经合同双方协商一致后，签订补充合同，补充合同与本合同具有同等效力。</w:t>
      </w:r>
    </w:p>
    <w:p w14:paraId="7E57B5C9">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4.送达地址以及送达条款</w:t>
      </w:r>
    </w:p>
    <w:p w14:paraId="32F4E250">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（1）送达地址以及方式</w:t>
      </w:r>
    </w:p>
    <w:p w14:paraId="54D22513">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送达地址</w:t>
      </w:r>
    </w:p>
    <w:p w14:paraId="46846E52">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甲方确认送达地址如下：</w:t>
      </w:r>
    </w:p>
    <w:p w14:paraId="4D4E49DE">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地址：    省    市    区/县    路    号，</w:t>
      </w:r>
    </w:p>
    <w:p w14:paraId="5A4F56D6">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邮编：            ，</w:t>
      </w:r>
    </w:p>
    <w:p w14:paraId="4E34D992">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联系人：      ，</w:t>
      </w:r>
    </w:p>
    <w:p w14:paraId="7DCF9913">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联系电话：      -            。</w:t>
      </w:r>
    </w:p>
    <w:p w14:paraId="5BA714A8">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甲方电子送达方式如下：</w:t>
      </w:r>
    </w:p>
    <w:p w14:paraId="402F47EB">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手机短信：                  </w:t>
      </w:r>
    </w:p>
    <w:p w14:paraId="7E414F3F">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传真：      -            </w:t>
      </w:r>
    </w:p>
    <w:p w14:paraId="0D9D36FC">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即时通讯账号（微信号）：                  </w:t>
      </w:r>
    </w:p>
    <w:p w14:paraId="15ACB880">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电子邮箱：            。</w:t>
      </w:r>
    </w:p>
    <w:p w14:paraId="0C219091">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p>
    <w:p w14:paraId="2BB75E1A">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乙方确认送达地址如下：</w:t>
      </w:r>
    </w:p>
    <w:p w14:paraId="3523B718">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地址：    省    市    区/县    路    号，</w:t>
      </w:r>
    </w:p>
    <w:p w14:paraId="313C99BC">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邮编：            ，</w:t>
      </w:r>
    </w:p>
    <w:p w14:paraId="63E668C9">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联系人：      ，</w:t>
      </w:r>
    </w:p>
    <w:p w14:paraId="77AAB770">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联系电话：      -            。</w:t>
      </w:r>
    </w:p>
    <w:p w14:paraId="62F9FA43">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乙方电子送达方式如下：</w:t>
      </w:r>
    </w:p>
    <w:p w14:paraId="4D93A30B">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手机短信：                  </w:t>
      </w:r>
    </w:p>
    <w:p w14:paraId="6C00E00E">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传真：      -            </w:t>
      </w:r>
    </w:p>
    <w:p w14:paraId="41046FA0">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 xml:space="preserve">即时通讯账号（微信号）：                  </w:t>
      </w:r>
    </w:p>
    <w:p w14:paraId="56FE63A1">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电子邮箱：</w:t>
      </w:r>
    </w:p>
    <w:p w14:paraId="408633DC">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送达方式</w:t>
      </w:r>
    </w:p>
    <w:p w14:paraId="6BE7967F">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双方同意，本合同项下的通知、函件、诉讼文书等文件，以下列方式送达对方：</w:t>
      </w:r>
    </w:p>
    <w:p w14:paraId="020428F3">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直接送达：将文件送至对方指定的送达地址，视为已送达；</w:t>
      </w:r>
    </w:p>
    <w:p w14:paraId="7AB0E511">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邮寄送达：将文件通过挂号信、特快专递等方式寄至对方指定的送达地址，以邮戳日期为准，视为已送达；</w:t>
      </w:r>
    </w:p>
    <w:p w14:paraId="494E97E8">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512CE075">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（2）送达条款</w:t>
      </w:r>
    </w:p>
    <w:p w14:paraId="19C372F8">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本送达条款适用于合同履行期间及合同纠纷解决过程中的所有文件送达。</w:t>
      </w:r>
    </w:p>
    <w:p w14:paraId="712795BA">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0608575">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双方在合同履行过程中由双方共同明示或默示确认的合同约定外的送达地址和联系方式不影响送达效力。</w:t>
      </w:r>
    </w:p>
    <w:p w14:paraId="3840EE19">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55C20BFC">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15B2DAF5">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44975780">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擅自变更送达地址及信息且未及时通知对方的；</w:t>
      </w:r>
    </w:p>
    <w:p w14:paraId="3BBBB034">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送达地址与信息同工商登记信息不一致且未及时更改的；</w:t>
      </w:r>
    </w:p>
    <w:p w14:paraId="14AD2C31">
      <w:pPr>
        <w:tabs>
          <w:tab w:val="left" w:pos="0"/>
          <w:tab w:val="left" w:pos="2800"/>
        </w:tabs>
        <w:spacing w:line="360" w:lineRule="auto"/>
        <w:ind w:firstLine="560" w:firstLineChars="200"/>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故意不接收蚌埠仲裁委员会送达文书的；</w:t>
      </w:r>
    </w:p>
    <w:p w14:paraId="69AD7FE7">
      <w:p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kern w:val="0"/>
          <w:sz w:val="28"/>
          <w:szCs w:val="28"/>
          <w:lang w:val="en-US" w:eastAsia="zh-CN" w:bidi="ar"/>
          <w14:textFill>
            <w14:solidFill>
              <w14:schemeClr w14:val="tx1"/>
            </w14:solidFill>
          </w14:textFill>
        </w:rPr>
        <w:t>因接收方过错造成无法正常送达的其他行为。</w:t>
      </w:r>
    </w:p>
    <w:p w14:paraId="291E88B0">
      <w:p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color w:val="000000" w:themeColor="text1"/>
          <w:sz w:val="28"/>
          <w:szCs w:val="28"/>
          <w14:textFill>
            <w14:solidFill>
              <w14:schemeClr w14:val="tx1"/>
            </w14:solidFill>
          </w14:textFill>
        </w:rPr>
        <w:t>（以下无正文）</w:t>
      </w:r>
    </w:p>
    <w:p w14:paraId="49D02B49">
      <w:pPr>
        <w:tabs>
          <w:tab w:val="left" w:pos="0"/>
          <w:tab w:val="left" w:pos="2800"/>
        </w:tabs>
        <w:spacing w:line="360" w:lineRule="auto"/>
        <w:ind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p>
    <w:p w14:paraId="772DB69B">
      <w:pPr>
        <w:tabs>
          <w:tab w:val="left" w:pos="2800"/>
        </w:tabs>
        <w:spacing w:line="360" w:lineRule="auto"/>
        <w:ind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 xml:space="preserve">甲方（签章）：                      </w:t>
      </w:r>
    </w:p>
    <w:p w14:paraId="5B05028D">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p>
    <w:p w14:paraId="7D3617B8">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法定代表人（签字）：</w:t>
      </w:r>
    </w:p>
    <w:p w14:paraId="2D73ABF9">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 xml:space="preserve">委托代理人（签字）：      </w:t>
      </w:r>
    </w:p>
    <w:p w14:paraId="008680DD">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p>
    <w:p w14:paraId="498BE1B3">
      <w:pPr>
        <w:tabs>
          <w:tab w:val="left" w:pos="2800"/>
        </w:tabs>
        <w:spacing w:line="360" w:lineRule="auto"/>
        <w:ind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 xml:space="preserve">乙方（签章）：                      </w:t>
      </w:r>
    </w:p>
    <w:p w14:paraId="65BC62C9">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p>
    <w:p w14:paraId="0B58B205">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法定代表人（签字）：</w:t>
      </w:r>
    </w:p>
    <w:p w14:paraId="0BD1CEA6">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 xml:space="preserve">委托代理人（签字）： </w:t>
      </w:r>
    </w:p>
    <w:p w14:paraId="00FDF397">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p>
    <w:p w14:paraId="76268F8A">
      <w:pPr>
        <w:tabs>
          <w:tab w:val="left" w:pos="2800"/>
        </w:tabs>
        <w:spacing w:line="360" w:lineRule="auto"/>
        <w:ind w:left="420" w:leftChars="200" w:firstLine="560" w:firstLineChars="200"/>
        <w:rPr>
          <w:rFonts w:hint="eastAsia" w:ascii="微软雅黑" w:hAnsi="微软雅黑" w:eastAsia="微软雅黑" w:cs="微软雅黑"/>
          <w:bCs/>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签订时间：     年    月    日</w:t>
      </w:r>
    </w:p>
    <w:p w14:paraId="79C6C457">
      <w:pPr>
        <w:tabs>
          <w:tab w:val="left" w:pos="2800"/>
        </w:tabs>
        <w:spacing w:line="360" w:lineRule="auto"/>
        <w:ind w:left="420" w:leftChars="200" w:firstLine="560" w:firstLineChars="200"/>
        <w:rPr>
          <w:rFonts w:hint="eastAsia" w:ascii="微软雅黑" w:hAnsi="微软雅黑" w:eastAsia="微软雅黑" w:cs="微软雅黑"/>
          <w:color w:val="000000" w:themeColor="text1"/>
          <w:sz w:val="28"/>
          <w:szCs w:val="28"/>
          <w14:textFill>
            <w14:solidFill>
              <w14:schemeClr w14:val="tx1"/>
            </w14:solidFill>
          </w14:textFill>
        </w:rPr>
      </w:pPr>
      <w:r>
        <w:rPr>
          <w:rFonts w:hint="eastAsia" w:ascii="微软雅黑" w:hAnsi="微软雅黑" w:eastAsia="微软雅黑" w:cs="微软雅黑"/>
          <w:bCs/>
          <w:color w:val="000000" w:themeColor="text1"/>
          <w:sz w:val="28"/>
          <w:szCs w:val="28"/>
          <w14:textFill>
            <w14:solidFill>
              <w14:schemeClr w14:val="tx1"/>
            </w14:solidFill>
          </w14:textFill>
        </w:rPr>
        <w:t>签订地点:</w:t>
      </w:r>
    </w:p>
    <w:p w14:paraId="5D2CF39B">
      <w:pPr>
        <w:spacing w:line="360" w:lineRule="auto"/>
        <w:rPr>
          <w:rFonts w:hint="eastAsia" w:ascii="微软雅黑" w:hAnsi="微软雅黑" w:eastAsia="微软雅黑" w:cs="微软雅黑"/>
          <w:color w:val="000000" w:themeColor="text1"/>
          <w:sz w:val="28"/>
          <w:szCs w:val="28"/>
          <w14:textFill>
            <w14:solidFill>
              <w14:schemeClr w14:val="tx1"/>
            </w14:solidFill>
          </w14:textFill>
        </w:rPr>
      </w:pPr>
    </w:p>
    <w:p w14:paraId="064E213B">
      <w:pPr>
        <w:spacing w:line="360" w:lineRule="auto"/>
        <w:rPr>
          <w:rFonts w:hint="eastAsia" w:ascii="微软雅黑" w:hAnsi="微软雅黑" w:eastAsia="微软雅黑" w:cs="微软雅黑"/>
          <w:color w:val="000000" w:themeColor="text1"/>
          <w:sz w:val="28"/>
          <w:szCs w:val="28"/>
          <w14:textFill>
            <w14:solidFill>
              <w14:schemeClr w14:val="tx1"/>
            </w14:solidFill>
          </w14:textFill>
        </w:rPr>
      </w:pPr>
    </w:p>
    <w:p w14:paraId="4E6C5D16">
      <w:pPr>
        <w:rPr>
          <w:rFonts w:hint="eastAsia" w:ascii="微软雅黑" w:hAnsi="微软雅黑" w:eastAsia="微软雅黑" w:cs="微软雅黑"/>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66704"/>
    </w:sdtPr>
    <w:sdtContent>
      <w:sdt>
        <w:sdtPr>
          <w:id w:val="171357217"/>
        </w:sdtPr>
        <w:sdtContent>
          <w:p w14:paraId="4ED4B756">
            <w:pPr>
              <w:pStyle w:val="2"/>
              <w:jc w:val="center"/>
            </w:pP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622D91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D3E7B"/>
    <w:multiLevelType w:val="singleLevel"/>
    <w:tmpl w:val="D29D3E7B"/>
    <w:lvl w:ilvl="0" w:tentative="0">
      <w:start w:val="1"/>
      <w:numFmt w:val="decimal"/>
      <w:suff w:val="nothing"/>
      <w:lvlText w:val="%1．"/>
      <w:lvlJc w:val="left"/>
      <w:pPr>
        <w:ind w:left="0" w:firstLine="400"/>
      </w:pPr>
    </w:lvl>
  </w:abstractNum>
  <w:abstractNum w:abstractNumId="1">
    <w:nsid w:val="DFD3C1CF"/>
    <w:multiLevelType w:val="singleLevel"/>
    <w:tmpl w:val="DFD3C1CF"/>
    <w:lvl w:ilvl="0" w:tentative="0">
      <w:start w:val="1"/>
      <w:numFmt w:val="decimal"/>
      <w:suff w:val="nothing"/>
      <w:lvlText w:val="%1．"/>
      <w:lvlJc w:val="left"/>
      <w:pPr>
        <w:ind w:left="0" w:firstLine="400"/>
      </w:pPr>
    </w:lvl>
  </w:abstractNum>
  <w:abstractNum w:abstractNumId="2">
    <w:nsid w:val="E8AF9882"/>
    <w:multiLevelType w:val="singleLevel"/>
    <w:tmpl w:val="E8AF9882"/>
    <w:lvl w:ilvl="0" w:tentative="0">
      <w:start w:val="1"/>
      <w:numFmt w:val="decimal"/>
      <w:suff w:val="nothing"/>
      <w:lvlText w:val="%1．"/>
      <w:lvlJc w:val="left"/>
      <w:pPr>
        <w:ind w:left="0" w:firstLine="400"/>
      </w:pPr>
    </w:lvl>
  </w:abstractNum>
  <w:abstractNum w:abstractNumId="3">
    <w:nsid w:val="3BF82450"/>
    <w:multiLevelType w:val="singleLevel"/>
    <w:tmpl w:val="3BF82450"/>
    <w:lvl w:ilvl="0" w:tentative="0">
      <w:start w:val="1"/>
      <w:numFmt w:val="decimal"/>
      <w:suff w:val="nothing"/>
      <w:lvlText w:val="%1．"/>
      <w:lvlJc w:val="left"/>
      <w:pPr>
        <w:ind w:left="0" w:firstLine="400"/>
      </w:pPr>
    </w:lvl>
  </w:abstractNum>
  <w:abstractNum w:abstractNumId="4">
    <w:nsid w:val="59CDAE1D"/>
    <w:multiLevelType w:val="singleLevel"/>
    <w:tmpl w:val="59CDAE1D"/>
    <w:lvl w:ilvl="0" w:tentative="0">
      <w:start w:val="1"/>
      <w:numFmt w:val="decimal"/>
      <w:suff w:val="nothing"/>
      <w:lvlText w:val="%1．"/>
      <w:lvlJc w:val="left"/>
      <w:pPr>
        <w:ind w:left="0" w:firstLine="400"/>
      </w:pPr>
    </w:lvl>
  </w:abstractNum>
  <w:abstractNum w:abstractNumId="5">
    <w:nsid w:val="59CDAEA5"/>
    <w:multiLevelType w:val="singleLevel"/>
    <w:tmpl w:val="59CDAEA5"/>
    <w:lvl w:ilvl="0" w:tentative="0">
      <w:start w:val="1"/>
      <w:numFmt w:val="decimal"/>
      <w:suff w:val="nothing"/>
      <w:lvlText w:val="%1．"/>
      <w:lvlJc w:val="left"/>
      <w:pPr>
        <w:ind w:left="0" w:firstLine="400"/>
      </w:pPr>
    </w:lvl>
  </w:abstractNum>
  <w:abstractNum w:abstractNumId="6">
    <w:nsid w:val="5A0909BE"/>
    <w:multiLevelType w:val="singleLevel"/>
    <w:tmpl w:val="5A0909BE"/>
    <w:lvl w:ilvl="0" w:tentative="0">
      <w:start w:val="1"/>
      <w:numFmt w:val="chineseCounting"/>
      <w:suff w:val="nothing"/>
      <w:lvlText w:val="%1、"/>
      <w:lvlJc w:val="left"/>
      <w:pPr>
        <w:ind w:left="0" w:firstLine="420"/>
      </w:pPr>
    </w:lvl>
  </w:abstractNum>
  <w:abstractNum w:abstractNumId="7">
    <w:nsid w:val="5A14083A"/>
    <w:multiLevelType w:val="singleLevel"/>
    <w:tmpl w:val="5A14083A"/>
    <w:lvl w:ilvl="0" w:tentative="0">
      <w:start w:val="1"/>
      <w:numFmt w:val="decimal"/>
      <w:suff w:val="nothing"/>
      <w:lvlText w:val="%1．"/>
      <w:lvlJc w:val="left"/>
      <w:pPr>
        <w:ind w:left="0" w:firstLine="400"/>
      </w:pPr>
    </w:lvl>
  </w:abstractNum>
  <w:abstractNum w:abstractNumId="8">
    <w:nsid w:val="663ADD2E"/>
    <w:multiLevelType w:val="singleLevel"/>
    <w:tmpl w:val="663ADD2E"/>
    <w:lvl w:ilvl="0" w:tentative="0">
      <w:start w:val="1"/>
      <w:numFmt w:val="decimal"/>
      <w:suff w:val="space"/>
      <w:lvlText w:val="%1."/>
      <w:lvlJc w:val="left"/>
    </w:lvl>
  </w:abstractNum>
  <w:num w:numId="1">
    <w:abstractNumId w:val="6"/>
    <w:lvlOverride w:ilvl="0">
      <w:startOverride w:val="1"/>
    </w:lvlOverride>
  </w:num>
  <w:num w:numId="2">
    <w:abstractNumId w:val="5"/>
    <w:lvlOverride w:ilvl="0">
      <w:startOverride w:val="1"/>
    </w:lvlOverride>
  </w:num>
  <w:num w:numId="3">
    <w:abstractNumId w:val="1"/>
    <w:lvlOverride w:ilvl="0">
      <w:startOverride w:val="1"/>
    </w:lvlOverride>
  </w:num>
  <w:num w:numId="4">
    <w:abstractNumId w:val="7"/>
    <w:lvlOverride w:ilvl="0">
      <w:startOverride w:val="1"/>
    </w:lvlOverride>
  </w:num>
  <w:num w:numId="5">
    <w:abstractNumId w:val="4"/>
    <w:lvlOverride w:ilvl="0">
      <w:startOverride w:val="1"/>
    </w:lvlOverride>
  </w:num>
  <w:num w:numId="6">
    <w:abstractNumId w:val="0"/>
    <w:lvlOverride w:ilvl="0">
      <w:startOverride w:val="1"/>
    </w:lvlOverride>
  </w:num>
  <w:num w:numId="7">
    <w:abstractNumId w:val="2"/>
    <w:lvlOverride w:ilvl="0">
      <w:startOverride w:val="1"/>
    </w:lvlOverride>
  </w:num>
  <w:num w:numId="8">
    <w:abstractNumId w:val="8"/>
  </w:num>
  <w:num w:numId="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0467D5"/>
    <w:rsid w:val="0BC76C57"/>
    <w:rsid w:val="1ED606DB"/>
    <w:rsid w:val="327B1FBC"/>
    <w:rsid w:val="4ED95634"/>
    <w:rsid w:val="580467D5"/>
    <w:rsid w:val="79166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0"/>
    <w:pPr>
      <w:spacing w:before="100" w:beforeAutospacing="1" w:after="100"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2655</Words>
  <Characters>2666</Characters>
  <Lines>0</Lines>
  <Paragraphs>0</Paragraphs>
  <TotalTime>193</TotalTime>
  <ScaleCrop>false</ScaleCrop>
  <LinksUpToDate>false</LinksUpToDate>
  <CharactersWithSpaces>3119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2021-05-28T06:30:00Z</dcterms:created>
  <dc:creator>真宇律师</dc:creator>
  <cp:lastModifiedBy>豪</cp:lastModifiedBy>
  <dcterms:modified xsi:type="dcterms:W3CDTF">2026-03-22T07:28:10Z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57BACA6C64F5481995E61945C722C5B7</vt:lpwstr>
  </property>
  <property fmtid="{D5CDD505-2E9C-101B-9397-08002B2CF9AE}" pid="4" name="KSOTemplateDocerSaveRecord">
    <vt:lpwstr>eyJoZGlkIjoiNTg0MzMyNGJiMDEzODc5ODNlMGVjODViOWRkZjg1MDgiLCJ1c2VySWQiOiIxMjc2Mzc3NjgxIn0=</vt:lpwstr>
  </property>
</Properties>
</file>