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5AB76">
      <w:pPr>
        <w:keepNext w:val="0"/>
        <w:keepLines w:val="0"/>
        <w:pageBreakBefore w:val="0"/>
        <w:widowControl w:val="0"/>
        <w:tabs>
          <w:tab w:val="left" w:pos="2800"/>
        </w:tabs>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000000" w:themeColor="text1"/>
          <w:sz w:val="36"/>
          <w:szCs w:val="36"/>
          <w14:textFill>
            <w14:solidFill>
              <w14:schemeClr w14:val="tx1"/>
            </w14:solidFill>
          </w14:textFill>
        </w:rPr>
      </w:pPr>
      <w:bookmarkStart w:id="0" w:name="_Toc22729"/>
      <w:bookmarkStart w:id="3" w:name="_GoBack"/>
    </w:p>
    <w:p w14:paraId="45456050">
      <w:pPr>
        <w:keepNext w:val="0"/>
        <w:keepLines w:val="0"/>
        <w:pageBreakBefore w:val="0"/>
        <w:tabs>
          <w:tab w:val="left" w:pos="2800"/>
        </w:tabs>
        <w:kinsoku/>
        <w:wordWrap/>
        <w:overflowPunct/>
        <w:topLinePunct w:val="0"/>
        <w:autoSpaceDE/>
        <w:bidi w:val="0"/>
        <w:adjustRightInd/>
        <w:snapToGrid/>
        <w:spacing w:line="360" w:lineRule="auto"/>
        <w:jc w:val="center"/>
        <w:outlineLvl w:val="0"/>
        <w:rPr>
          <w:rFonts w:hint="eastAsia" w:ascii="微软雅黑" w:hAnsi="微软雅黑" w:eastAsia="微软雅黑" w:cs="微软雅黑"/>
          <w:b/>
          <w:color w:val="000000" w:themeColor="text1"/>
          <w:sz w:val="36"/>
          <w:szCs w:val="36"/>
          <w14:textFill>
            <w14:solidFill>
              <w14:schemeClr w14:val="tx1"/>
            </w14:solidFill>
          </w14:textFill>
        </w:rPr>
      </w:pPr>
      <w:r>
        <w:rPr>
          <w:rFonts w:hint="eastAsia" w:ascii="微软雅黑" w:hAnsi="微软雅黑" w:eastAsia="微软雅黑" w:cs="微软雅黑"/>
          <w:b/>
          <w:color w:val="000000" w:themeColor="text1"/>
          <w:spacing w:val="57"/>
          <w:sz w:val="36"/>
          <w:szCs w:val="36"/>
          <w14:textFill>
            <w14:solidFill>
              <w14:schemeClr w14:val="tx1"/>
            </w14:solidFill>
          </w14:textFill>
        </w:rPr>
        <w:t>大型商场招租合同</w:t>
      </w:r>
      <w:bookmarkEnd w:id="0"/>
    </w:p>
    <w:p w14:paraId="47D28487">
      <w:pPr>
        <w:keepNext w:val="0"/>
        <w:keepLines w:val="0"/>
        <w:pageBreakBefore w:val="0"/>
        <w:tabs>
          <w:tab w:val="left" w:pos="2800"/>
        </w:tabs>
        <w:kinsoku/>
        <w:wordWrap/>
        <w:overflowPunct/>
        <w:topLinePunct w:val="0"/>
        <w:autoSpaceDE/>
        <w:bidi w:val="0"/>
        <w:adjustRightInd/>
        <w:snapToGrid/>
        <w:spacing w:line="360" w:lineRule="auto"/>
        <w:jc w:val="center"/>
        <w:outlineLvl w:val="0"/>
        <w:rPr>
          <w:rFonts w:hint="eastAsia" w:ascii="微软雅黑" w:hAnsi="微软雅黑" w:eastAsia="微软雅黑" w:cs="微软雅黑"/>
          <w:color w:val="000000" w:themeColor="text1"/>
          <w:sz w:val="36"/>
          <w:szCs w:val="36"/>
          <w14:textFill>
            <w14:solidFill>
              <w14:schemeClr w14:val="tx1"/>
            </w14:solidFill>
          </w14:textFill>
        </w:rPr>
      </w:pPr>
      <w:r>
        <w:rPr>
          <w:rFonts w:hint="eastAsia" w:ascii="微软雅黑" w:hAnsi="微软雅黑" w:eastAsia="微软雅黑" w:cs="微软雅黑"/>
          <w:color w:val="000000" w:themeColor="text1"/>
          <w:sz w:val="36"/>
          <w:szCs w:val="36"/>
          <w14:textFill>
            <w14:solidFill>
              <w14:schemeClr w14:val="tx1"/>
            </w14:solidFill>
          </w14:textFill>
        </w:rPr>
        <w:t>（说明：该合同适用于开发商自持物业形成大型商业区招租）</w:t>
      </w:r>
    </w:p>
    <w:bookmarkEnd w:id="3"/>
    <w:p w14:paraId="5A6889EF">
      <w:pPr>
        <w:keepNext w:val="0"/>
        <w:keepLines w:val="0"/>
        <w:pageBreakBefore w:val="0"/>
        <w:widowControl w:val="0"/>
        <w:tabs>
          <w:tab w:val="left" w:pos="2800"/>
        </w:tabs>
        <w:kinsoku/>
        <w:wordWrap/>
        <w:overflowPunct/>
        <w:topLinePunct w:val="0"/>
        <w:autoSpaceDE/>
        <w:autoSpaceDN/>
        <w:bidi w:val="0"/>
        <w:adjustRightInd/>
        <w:snapToGrid/>
        <w:spacing w:line="360" w:lineRule="auto"/>
        <w:ind w:firstLine="480" w:firstLineChars="200"/>
        <w:jc w:val="both"/>
        <w:textAlignment w:val="auto"/>
        <w:outlineLvl w:val="0"/>
        <w:rPr>
          <w:rFonts w:hint="eastAsia" w:ascii="微软雅黑" w:hAnsi="微软雅黑" w:eastAsia="微软雅黑" w:cs="微软雅黑"/>
          <w:color w:val="000000" w:themeColor="text1"/>
          <w:sz w:val="24"/>
          <w:szCs w:val="24"/>
          <w14:textFill>
            <w14:solidFill>
              <w14:schemeClr w14:val="tx1"/>
            </w14:solidFill>
          </w14:textFill>
        </w:rPr>
      </w:pPr>
    </w:p>
    <w:p w14:paraId="5A93725F">
      <w:pPr>
        <w:keepNext w:val="0"/>
        <w:keepLines w:val="0"/>
        <w:pageBreakBefore w:val="0"/>
        <w:widowControl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甲方（出租方）：</w:t>
      </w:r>
    </w:p>
    <w:p w14:paraId="69B07174">
      <w:pPr>
        <w:keepNext w:val="0"/>
        <w:keepLines w:val="0"/>
        <w:pageBreakBefore w:val="0"/>
        <w:widowControl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16BE7C7B">
      <w:pPr>
        <w:keepNext w:val="0"/>
        <w:keepLines w:val="0"/>
        <w:pageBreakBefore w:val="0"/>
        <w:widowControl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乙方（承租方）：</w:t>
      </w:r>
    </w:p>
    <w:p w14:paraId="7BC4FCBF">
      <w:pPr>
        <w:keepNext w:val="0"/>
        <w:keepLines w:val="0"/>
        <w:pageBreakBefore w:val="0"/>
        <w:widowControl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统一社会信用代码\公民身份号码：</w:t>
      </w:r>
    </w:p>
    <w:p w14:paraId="22823CD2">
      <w:pPr>
        <w:keepNext w:val="0"/>
        <w:keepLines w:val="0"/>
        <w:pageBreakBefore w:val="0"/>
        <w:widowControl w:val="0"/>
        <w:tabs>
          <w:tab w:val="left" w:pos="1134"/>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39EA4E88">
      <w:pPr>
        <w:keepNext w:val="0"/>
        <w:keepLines w:val="0"/>
        <w:pageBreakBefore w:val="0"/>
        <w:widowControl w:val="0"/>
        <w:tabs>
          <w:tab w:val="left" w:pos="1134"/>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甲、乙双方根据《中华人民共和国</w:t>
      </w:r>
      <w:r>
        <w:rPr>
          <w:rFonts w:hint="eastAsia" w:ascii="微软雅黑" w:hAnsi="微软雅黑" w:eastAsia="微软雅黑" w:cs="微软雅黑"/>
          <w:color w:val="000000" w:themeColor="text1"/>
          <w:sz w:val="24"/>
          <w:szCs w:val="24"/>
          <w:lang w:eastAsia="zh-CN"/>
          <w14:textFill>
            <w14:solidFill>
              <w14:schemeClr w14:val="tx1"/>
            </w14:solidFill>
          </w14:textFill>
        </w:rPr>
        <w:t>民法典</w:t>
      </w:r>
      <w:r>
        <w:rPr>
          <w:rFonts w:hint="eastAsia" w:ascii="微软雅黑" w:hAnsi="微软雅黑" w:eastAsia="微软雅黑" w:cs="微软雅黑"/>
          <w:color w:val="000000" w:themeColor="text1"/>
          <w:sz w:val="24"/>
          <w:szCs w:val="24"/>
          <w14:textFill>
            <w14:solidFill>
              <w14:schemeClr w14:val="tx1"/>
            </w14:solidFill>
          </w14:textFill>
        </w:rPr>
        <w:t>》等有关法律法规的规定，在“平等、自愿、公平、诚实信用”的基础上，经双方充分协商达成一致，签订以下合同条款，以共同遵守。</w:t>
      </w:r>
    </w:p>
    <w:p w14:paraId="07DA0919">
      <w:pPr>
        <w:keepNext w:val="0"/>
        <w:keepLines w:val="0"/>
        <w:pageBreakBefore w:val="0"/>
        <w:widowControl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租赁房屋情况</w:t>
      </w:r>
    </w:p>
    <w:p w14:paraId="3ACF9EC7">
      <w:pPr>
        <w:keepNext w:val="0"/>
        <w:keepLines w:val="0"/>
        <w:pageBreakBefore w:val="0"/>
        <w:widowControl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租赁房屋位于：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项目</w:t>
      </w:r>
      <w:bookmarkStart w:id="1" w:name="OLE_LINK3"/>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bookmarkEnd w:id="1"/>
      <w:r>
        <w:rPr>
          <w:rFonts w:hint="eastAsia" w:ascii="微软雅黑" w:hAnsi="微软雅黑" w:eastAsia="微软雅黑" w:cs="微软雅黑"/>
          <w:color w:val="000000" w:themeColor="text1"/>
          <w:sz w:val="24"/>
          <w:szCs w:val="24"/>
          <w14:textFill>
            <w14:solidFill>
              <w14:schemeClr w14:val="tx1"/>
            </w14:solidFill>
          </w14:textFill>
        </w:rPr>
        <w:t>幢</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层</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号（具体位置见附件一房屋平面图，如实际状态与房屋平面图不一致的以实际状态为准）。</w:t>
      </w:r>
    </w:p>
    <w:p w14:paraId="73AC758E">
      <w:pPr>
        <w:keepNext w:val="0"/>
        <w:keepLines w:val="0"/>
        <w:pageBreakBefore w:val="0"/>
        <w:widowControl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租赁用途</w:t>
      </w:r>
    </w:p>
    <w:p w14:paraId="09636E16">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乙方向甲方承诺，租赁该房屋的用途为：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；并且在接房时向甲方提供该用途的合法证书或书面授权。</w:t>
      </w:r>
    </w:p>
    <w:p w14:paraId="3E045CA5">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乙方需自行办理营业、税务、消防等与合法经营相关的证照、许可，并在开业经营前将营业执照等相关证照复印件（加盖公章或签字）交甲方备案。</w:t>
      </w:r>
    </w:p>
    <w:p w14:paraId="4F9BAFC7">
      <w:pPr>
        <w:keepNext w:val="0"/>
        <w:keepLines w:val="0"/>
        <w:pageBreakBefore w:val="0"/>
        <w:widowControl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租赁期限</w:t>
      </w:r>
    </w:p>
    <w:p w14:paraId="466D6495">
      <w:pPr>
        <w:keepNext w:val="0"/>
        <w:keepLines w:val="0"/>
        <w:pageBreakBefore w:val="0"/>
        <w:widowControl w:val="0"/>
        <w:numPr>
          <w:ilvl w:val="0"/>
          <w:numId w:val="3"/>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租赁期限为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年。租赁期限为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日，每满十二个月为一个租赁年度（一期）。免租期为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日(免租</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个月，免租期即为装修期)。</w:t>
      </w:r>
    </w:p>
    <w:p w14:paraId="41009B99">
      <w:pPr>
        <w:keepNext w:val="0"/>
        <w:keepLines w:val="0"/>
        <w:pageBreakBefore w:val="0"/>
        <w:widowControl w:val="0"/>
        <w:numPr>
          <w:ilvl w:val="0"/>
          <w:numId w:val="3"/>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开业日期：乙方应当于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日前完成全部装修正式对外营业。</w:t>
      </w:r>
    </w:p>
    <w:p w14:paraId="18034BF2">
      <w:pPr>
        <w:keepNext w:val="0"/>
        <w:keepLines w:val="0"/>
        <w:pageBreakBefore w:val="0"/>
        <w:widowControl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租赁房屋的交付</w:t>
      </w:r>
    </w:p>
    <w:p w14:paraId="49C703C0">
      <w:pPr>
        <w:keepNext w:val="0"/>
        <w:keepLines w:val="0"/>
        <w:pageBreakBefore w:val="0"/>
        <w:widowControl w:val="0"/>
        <w:numPr>
          <w:ilvl w:val="0"/>
          <w:numId w:val="4"/>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交付时间：</w:t>
      </w:r>
    </w:p>
    <w:p w14:paraId="684D5D7A">
      <w:pPr>
        <w:keepNext w:val="0"/>
        <w:keepLines w:val="0"/>
        <w:pageBreakBefore w:val="0"/>
        <w:widowControl w:val="0"/>
        <w:numPr>
          <w:ilvl w:val="0"/>
          <w:numId w:val="5"/>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房屋交付时间为：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日；交付时，甲乙双方签署交付清单。</w:t>
      </w:r>
    </w:p>
    <w:p w14:paraId="3B7A54EB">
      <w:pPr>
        <w:keepNext w:val="0"/>
        <w:keepLines w:val="0"/>
        <w:pageBreakBefore w:val="0"/>
        <w:widowControl w:val="0"/>
        <w:numPr>
          <w:ilvl w:val="0"/>
          <w:numId w:val="5"/>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乙方未在约定的期限内接房的，到期视为甲方已经按期交房且所交房屋符合本合同约定。</w:t>
      </w:r>
    </w:p>
    <w:p w14:paraId="3801C9D4">
      <w:pPr>
        <w:keepNext w:val="0"/>
        <w:keepLines w:val="0"/>
        <w:pageBreakBefore w:val="0"/>
        <w:widowControl w:val="0"/>
        <w:numPr>
          <w:ilvl w:val="0"/>
          <w:numId w:val="4"/>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交付标准：租赁房屋的装修现状为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。交房时，甲方应向乙方提供消防首次竣工验收资料复印件、办理相关营业执照所需的证明文件。</w:t>
      </w:r>
    </w:p>
    <w:p w14:paraId="6FE9C70C">
      <w:pPr>
        <w:keepNext w:val="0"/>
        <w:keepLines w:val="0"/>
        <w:pageBreakBefore w:val="0"/>
        <w:widowControl w:val="0"/>
        <w:numPr>
          <w:ilvl w:val="0"/>
          <w:numId w:val="4"/>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乙方应在合同签订后1月内向甲方提供自行装修部分的全套施工图设计文件以供甲方备案，该设计文件必须满足国家或地方政府部门对于装修的规范性要求。</w:t>
      </w:r>
    </w:p>
    <w:p w14:paraId="1A30E4FF">
      <w:pPr>
        <w:keepNext w:val="0"/>
        <w:keepLines w:val="0"/>
        <w:pageBreakBefore w:val="0"/>
        <w:widowControl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相关费用</w:t>
      </w:r>
    </w:p>
    <w:p w14:paraId="66024851">
      <w:pPr>
        <w:keepNext w:val="0"/>
        <w:keepLines w:val="0"/>
        <w:pageBreakBefore w:val="0"/>
        <w:widowControl w:val="0"/>
        <w:numPr>
          <w:ilvl w:val="0"/>
          <w:numId w:val="6"/>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租金：</w:t>
      </w:r>
    </w:p>
    <w:p w14:paraId="5D06DFBB">
      <w:pPr>
        <w:keepNext w:val="0"/>
        <w:keepLines w:val="0"/>
        <w:pageBreakBefore w:val="0"/>
        <w:widowControl w:val="0"/>
        <w:numPr>
          <w:ilvl w:val="0"/>
          <w:numId w:val="7"/>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标准：按租赁房屋所处的位置和建筑面积计收租金。本合同计租面积为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平方米（详见附图，最终面积以产权证记载的建筑面积为准），第一期租期为商家市场培育期，每平方米按人民币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元／月计算（其中包含商业管理费和物业服务费，是否含税：□是 □否）自本合同第三条第二款约定的开业日开始计算至12个月结束，以后各租期的起止时间、递增标准、具体支付金额详见本条第1款第（4）项缴纳费用明细表。</w:t>
      </w:r>
    </w:p>
    <w:p w14:paraId="57AF8FD7">
      <w:pPr>
        <w:keepNext w:val="0"/>
        <w:keepLines w:val="0"/>
        <w:pageBreakBefore w:val="0"/>
        <w:widowControl w:val="0"/>
        <w:numPr>
          <w:ilvl w:val="0"/>
          <w:numId w:val="7"/>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支付周期：一年一付，即每年一次性支付完毕当期租金。 </w:t>
      </w:r>
    </w:p>
    <w:p w14:paraId="6AC74F80">
      <w:pPr>
        <w:keepNext w:val="0"/>
        <w:keepLines w:val="0"/>
        <w:pageBreakBefore w:val="0"/>
        <w:widowControl w:val="0"/>
        <w:numPr>
          <w:ilvl w:val="0"/>
          <w:numId w:val="7"/>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支付时间：本着“先缴费，后使用”的原则，第一期缴纳相关费用时间为约定接房之日；以后每期缴纳相关费用在上一期租期最后一个月开始以前向甲方缴纳。</w:t>
      </w:r>
    </w:p>
    <w:p w14:paraId="5884F75F">
      <w:pPr>
        <w:keepNext w:val="0"/>
        <w:keepLines w:val="0"/>
        <w:pageBreakBefore w:val="0"/>
        <w:widowControl w:val="0"/>
        <w:numPr>
          <w:ilvl w:val="0"/>
          <w:numId w:val="7"/>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缴纳费用明细表：</w:t>
      </w:r>
    </w:p>
    <w:tbl>
      <w:tblPr>
        <w:tblStyle w:val="3"/>
        <w:tblpPr w:leftFromText="180" w:rightFromText="180" w:vertAnchor="text" w:tblpX="-136" w:tblpY="1"/>
        <w:tblOverlap w:val="never"/>
        <w:tblW w:w="8567" w:type="dxa"/>
        <w:tblInd w:w="0" w:type="dxa"/>
        <w:tblLayout w:type="fixed"/>
        <w:tblCellMar>
          <w:top w:w="0" w:type="dxa"/>
          <w:left w:w="108" w:type="dxa"/>
          <w:bottom w:w="0" w:type="dxa"/>
          <w:right w:w="108" w:type="dxa"/>
        </w:tblCellMar>
      </w:tblPr>
      <w:tblGrid>
        <w:gridCol w:w="1096"/>
        <w:gridCol w:w="2173"/>
        <w:gridCol w:w="834"/>
        <w:gridCol w:w="2082"/>
        <w:gridCol w:w="2382"/>
      </w:tblGrid>
      <w:tr w14:paraId="412B1D9F">
        <w:tblPrEx>
          <w:tblCellMar>
            <w:top w:w="0" w:type="dxa"/>
            <w:left w:w="108" w:type="dxa"/>
            <w:bottom w:w="0" w:type="dxa"/>
            <w:right w:w="108" w:type="dxa"/>
          </w:tblCellMar>
        </w:tblPrEx>
        <w:trPr>
          <w:trHeight w:val="751" w:hRule="atLeast"/>
        </w:trPr>
        <w:tc>
          <w:tcPr>
            <w:tcW w:w="1096" w:type="dxa"/>
            <w:tcBorders>
              <w:top w:val="single" w:color="000000" w:sz="4" w:space="0"/>
              <w:left w:val="single" w:color="000000" w:sz="4" w:space="0"/>
              <w:bottom w:val="single" w:color="000000" w:sz="4" w:space="0"/>
              <w:right w:val="single" w:color="000000" w:sz="4" w:space="0"/>
            </w:tcBorders>
            <w:vAlign w:val="center"/>
          </w:tcPr>
          <w:p w14:paraId="6654590C">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租期</w:t>
            </w:r>
          </w:p>
        </w:tc>
        <w:tc>
          <w:tcPr>
            <w:tcW w:w="2173" w:type="dxa"/>
            <w:tcBorders>
              <w:top w:val="single" w:color="000000" w:sz="4" w:space="0"/>
              <w:left w:val="nil"/>
              <w:bottom w:val="single" w:color="000000" w:sz="4" w:space="0"/>
              <w:right w:val="single" w:color="000000" w:sz="4" w:space="0"/>
            </w:tcBorders>
            <w:vAlign w:val="center"/>
          </w:tcPr>
          <w:p w14:paraId="225B9ABD">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起止时间</w:t>
            </w:r>
          </w:p>
        </w:tc>
        <w:tc>
          <w:tcPr>
            <w:tcW w:w="834" w:type="dxa"/>
            <w:tcBorders>
              <w:top w:val="single" w:color="000000" w:sz="4" w:space="0"/>
              <w:left w:val="single" w:color="000000" w:sz="4" w:space="0"/>
              <w:bottom w:val="single" w:color="000000" w:sz="4" w:space="0"/>
              <w:right w:val="single" w:color="000000" w:sz="4" w:space="0"/>
            </w:tcBorders>
            <w:vAlign w:val="center"/>
          </w:tcPr>
          <w:p w14:paraId="6EAABECB">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递增比例</w:t>
            </w:r>
          </w:p>
        </w:tc>
        <w:tc>
          <w:tcPr>
            <w:tcW w:w="2082" w:type="dxa"/>
            <w:tcBorders>
              <w:top w:val="single" w:color="000000" w:sz="4" w:space="0"/>
              <w:left w:val="nil"/>
              <w:bottom w:val="single" w:color="000000" w:sz="4" w:space="0"/>
              <w:right w:val="single" w:color="000000" w:sz="4" w:space="0"/>
            </w:tcBorders>
            <w:vAlign w:val="center"/>
          </w:tcPr>
          <w:p w14:paraId="56564DA7">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月租金（元）</w:t>
            </w:r>
          </w:p>
        </w:tc>
        <w:tc>
          <w:tcPr>
            <w:tcW w:w="2382" w:type="dxa"/>
            <w:tcBorders>
              <w:top w:val="single" w:color="000000" w:sz="4" w:space="0"/>
              <w:left w:val="nil"/>
              <w:bottom w:val="single" w:color="000000" w:sz="4" w:space="0"/>
              <w:right w:val="single" w:color="000000" w:sz="4" w:space="0"/>
            </w:tcBorders>
            <w:vAlign w:val="center"/>
          </w:tcPr>
          <w:p w14:paraId="2145DEC6">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年租金（元）</w:t>
            </w:r>
          </w:p>
        </w:tc>
      </w:tr>
      <w:tr w14:paraId="0134C2E4">
        <w:tblPrEx>
          <w:tblCellMar>
            <w:top w:w="0" w:type="dxa"/>
            <w:left w:w="108" w:type="dxa"/>
            <w:bottom w:w="0" w:type="dxa"/>
            <w:right w:w="108" w:type="dxa"/>
          </w:tblCellMar>
        </w:tblPrEx>
        <w:trPr>
          <w:trHeight w:val="557" w:hRule="atLeast"/>
        </w:trPr>
        <w:tc>
          <w:tcPr>
            <w:tcW w:w="1096" w:type="dxa"/>
            <w:tcBorders>
              <w:top w:val="nil"/>
              <w:left w:val="single" w:color="000000" w:sz="4" w:space="0"/>
              <w:bottom w:val="single" w:color="000000" w:sz="4" w:space="0"/>
              <w:right w:val="single" w:color="000000" w:sz="4" w:space="0"/>
            </w:tcBorders>
            <w:vAlign w:val="center"/>
          </w:tcPr>
          <w:p w14:paraId="6519EEDF">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第一期</w:t>
            </w:r>
          </w:p>
        </w:tc>
        <w:tc>
          <w:tcPr>
            <w:tcW w:w="2173" w:type="dxa"/>
            <w:tcBorders>
              <w:top w:val="nil"/>
              <w:left w:val="nil"/>
              <w:bottom w:val="single" w:color="000000" w:sz="4" w:space="0"/>
              <w:right w:val="single" w:color="000000" w:sz="4" w:space="0"/>
            </w:tcBorders>
            <w:vAlign w:val="center"/>
          </w:tcPr>
          <w:p w14:paraId="1EB3CF47">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834" w:type="dxa"/>
            <w:tcBorders>
              <w:top w:val="nil"/>
              <w:left w:val="nil"/>
              <w:bottom w:val="single" w:color="000000" w:sz="4" w:space="0"/>
              <w:right w:val="single" w:color="000000" w:sz="4" w:space="0"/>
            </w:tcBorders>
            <w:vAlign w:val="center"/>
          </w:tcPr>
          <w:p w14:paraId="67490DD0">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2082" w:type="dxa"/>
            <w:tcBorders>
              <w:top w:val="nil"/>
              <w:left w:val="nil"/>
              <w:bottom w:val="single" w:color="000000" w:sz="4" w:space="0"/>
              <w:right w:val="single" w:color="000000" w:sz="4" w:space="0"/>
            </w:tcBorders>
            <w:vAlign w:val="center"/>
          </w:tcPr>
          <w:p w14:paraId="7642AAB0">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2382" w:type="dxa"/>
            <w:tcBorders>
              <w:top w:val="nil"/>
              <w:left w:val="nil"/>
              <w:bottom w:val="single" w:color="000000" w:sz="4" w:space="0"/>
              <w:right w:val="single" w:color="000000" w:sz="4" w:space="0"/>
            </w:tcBorders>
            <w:vAlign w:val="center"/>
          </w:tcPr>
          <w:p w14:paraId="027AF146">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2A44B4F4">
        <w:tblPrEx>
          <w:tblCellMar>
            <w:top w:w="0" w:type="dxa"/>
            <w:left w:w="108" w:type="dxa"/>
            <w:bottom w:w="0" w:type="dxa"/>
            <w:right w:w="108" w:type="dxa"/>
          </w:tblCellMar>
        </w:tblPrEx>
        <w:trPr>
          <w:trHeight w:val="570" w:hRule="atLeast"/>
        </w:trPr>
        <w:tc>
          <w:tcPr>
            <w:tcW w:w="1096" w:type="dxa"/>
            <w:tcBorders>
              <w:top w:val="nil"/>
              <w:left w:val="single" w:color="000000" w:sz="4" w:space="0"/>
              <w:bottom w:val="single" w:color="000000" w:sz="4" w:space="0"/>
              <w:right w:val="single" w:color="000000" w:sz="4" w:space="0"/>
            </w:tcBorders>
            <w:vAlign w:val="center"/>
          </w:tcPr>
          <w:p w14:paraId="703A74A6">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第二期</w:t>
            </w:r>
          </w:p>
        </w:tc>
        <w:tc>
          <w:tcPr>
            <w:tcW w:w="2173" w:type="dxa"/>
            <w:tcBorders>
              <w:top w:val="nil"/>
              <w:left w:val="nil"/>
              <w:bottom w:val="single" w:color="000000" w:sz="4" w:space="0"/>
              <w:right w:val="single" w:color="000000" w:sz="4" w:space="0"/>
            </w:tcBorders>
            <w:vAlign w:val="center"/>
          </w:tcPr>
          <w:p w14:paraId="19D1A4D4">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834" w:type="dxa"/>
            <w:tcBorders>
              <w:top w:val="nil"/>
              <w:left w:val="nil"/>
              <w:bottom w:val="single" w:color="000000" w:sz="4" w:space="0"/>
              <w:right w:val="single" w:color="000000" w:sz="4" w:space="0"/>
            </w:tcBorders>
            <w:vAlign w:val="center"/>
          </w:tcPr>
          <w:p w14:paraId="62CEE0D6">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2082" w:type="dxa"/>
            <w:tcBorders>
              <w:top w:val="nil"/>
              <w:left w:val="nil"/>
              <w:bottom w:val="single" w:color="000000" w:sz="4" w:space="0"/>
              <w:right w:val="single" w:color="000000" w:sz="4" w:space="0"/>
            </w:tcBorders>
            <w:vAlign w:val="center"/>
          </w:tcPr>
          <w:p w14:paraId="358D7F7E">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2382" w:type="dxa"/>
            <w:tcBorders>
              <w:top w:val="nil"/>
              <w:left w:val="nil"/>
              <w:bottom w:val="single" w:color="000000" w:sz="4" w:space="0"/>
              <w:right w:val="single" w:color="000000" w:sz="4" w:space="0"/>
            </w:tcBorders>
            <w:vAlign w:val="center"/>
          </w:tcPr>
          <w:p w14:paraId="4539D785">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0648F867">
        <w:tblPrEx>
          <w:tblCellMar>
            <w:top w:w="0" w:type="dxa"/>
            <w:left w:w="108" w:type="dxa"/>
            <w:bottom w:w="0" w:type="dxa"/>
            <w:right w:w="108" w:type="dxa"/>
          </w:tblCellMar>
        </w:tblPrEx>
        <w:trPr>
          <w:trHeight w:val="546" w:hRule="atLeast"/>
        </w:trPr>
        <w:tc>
          <w:tcPr>
            <w:tcW w:w="1096" w:type="dxa"/>
            <w:tcBorders>
              <w:top w:val="nil"/>
              <w:left w:val="single" w:color="000000" w:sz="4" w:space="0"/>
              <w:bottom w:val="single" w:color="000000" w:sz="4" w:space="0"/>
              <w:right w:val="single" w:color="000000" w:sz="4" w:space="0"/>
            </w:tcBorders>
            <w:vAlign w:val="center"/>
          </w:tcPr>
          <w:p w14:paraId="3C02F039">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p>
        </w:tc>
        <w:tc>
          <w:tcPr>
            <w:tcW w:w="2173" w:type="dxa"/>
            <w:tcBorders>
              <w:top w:val="nil"/>
              <w:left w:val="nil"/>
              <w:bottom w:val="single" w:color="000000" w:sz="4" w:space="0"/>
              <w:right w:val="single" w:color="000000" w:sz="4" w:space="0"/>
            </w:tcBorders>
            <w:vAlign w:val="center"/>
          </w:tcPr>
          <w:p w14:paraId="42D2281E">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834" w:type="dxa"/>
            <w:tcBorders>
              <w:top w:val="nil"/>
              <w:left w:val="nil"/>
              <w:bottom w:val="single" w:color="000000" w:sz="4" w:space="0"/>
              <w:right w:val="single" w:color="000000" w:sz="4" w:space="0"/>
            </w:tcBorders>
            <w:vAlign w:val="center"/>
          </w:tcPr>
          <w:p w14:paraId="7316E40C">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2082" w:type="dxa"/>
            <w:tcBorders>
              <w:top w:val="nil"/>
              <w:left w:val="nil"/>
              <w:bottom w:val="single" w:color="000000" w:sz="4" w:space="0"/>
              <w:right w:val="single" w:color="000000" w:sz="4" w:space="0"/>
            </w:tcBorders>
            <w:vAlign w:val="center"/>
          </w:tcPr>
          <w:p w14:paraId="634B7580">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2382" w:type="dxa"/>
            <w:tcBorders>
              <w:top w:val="nil"/>
              <w:left w:val="nil"/>
              <w:bottom w:val="single" w:color="000000" w:sz="4" w:space="0"/>
              <w:right w:val="single" w:color="000000" w:sz="4" w:space="0"/>
            </w:tcBorders>
            <w:vAlign w:val="center"/>
          </w:tcPr>
          <w:p w14:paraId="7BD0BE82">
            <w:pPr>
              <w:keepNext w:val="0"/>
              <w:keepLines w:val="0"/>
              <w:pageBreakBefore w:val="0"/>
              <w:tabs>
                <w:tab w:val="left" w:pos="2800"/>
              </w:tabs>
              <w:kinsoku/>
              <w:wordWrap/>
              <w:overflowPunct/>
              <w:topLinePunct w:val="0"/>
              <w:autoSpaceDE/>
              <w:autoSpaceDN w:val="0"/>
              <w:bidi w:val="0"/>
              <w:adjustRightInd/>
              <w:snapToGrid/>
              <w:spacing w:line="360" w:lineRule="auto"/>
              <w:textAlignment w:val="center"/>
              <w:rPr>
                <w:rFonts w:hint="eastAsia" w:ascii="微软雅黑" w:hAnsi="微软雅黑" w:eastAsia="微软雅黑" w:cs="微软雅黑"/>
                <w:color w:val="000000" w:themeColor="text1"/>
                <w:sz w:val="24"/>
                <w:szCs w:val="24"/>
                <w14:textFill>
                  <w14:solidFill>
                    <w14:schemeClr w14:val="tx1"/>
                  </w14:solidFill>
                </w14:textFill>
              </w:rPr>
            </w:pPr>
          </w:p>
        </w:tc>
      </w:tr>
    </w:tbl>
    <w:p w14:paraId="247CA7CD">
      <w:pPr>
        <w:keepNext w:val="0"/>
        <w:keepLines w:val="0"/>
        <w:pageBreakBefore w:val="0"/>
        <w:numPr>
          <w:ilvl w:val="0"/>
          <w:numId w:val="7"/>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pacing w:val="4"/>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付款方式：□现金/□转账/□支票/□其他方式：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。以转账方式支付的，</w:t>
      </w:r>
      <w:r>
        <w:rPr>
          <w:rFonts w:hint="eastAsia" w:ascii="微软雅黑" w:hAnsi="微软雅黑" w:eastAsia="微软雅黑" w:cs="微软雅黑"/>
          <w:color w:val="000000" w:themeColor="text1"/>
          <w:spacing w:val="4"/>
          <w:sz w:val="24"/>
          <w:szCs w:val="24"/>
          <w14:textFill>
            <w14:solidFill>
              <w14:schemeClr w14:val="tx1"/>
            </w14:solidFill>
          </w14:textFill>
        </w:rPr>
        <w:t>乙方将应付缴纳费用汇入甲方指定银行账户并及时通知甲方查收，应交款项全额到达时间为乙方实际交付款项的时间，款项分期支付的，以最后一次付清款项的时间为支付时间。甲方账户信息如下：</w:t>
      </w:r>
    </w:p>
    <w:p w14:paraId="35B69AF9">
      <w:pPr>
        <w:keepNext w:val="0"/>
        <w:keepLines w:val="0"/>
        <w:pageBreakBefore w:val="0"/>
        <w:widowControl/>
        <w:tabs>
          <w:tab w:val="left" w:pos="2800"/>
        </w:tabs>
        <w:kinsoku/>
        <w:wordWrap/>
        <w:overflowPunct/>
        <w:topLinePunct w:val="0"/>
        <w:autoSpaceDE/>
        <w:autoSpaceDN/>
        <w:bidi w:val="0"/>
        <w:adjustRightInd/>
        <w:snapToGrid/>
        <w:spacing w:line="360" w:lineRule="auto"/>
        <w:ind w:firstLine="496" w:firstLineChars="200"/>
        <w:jc w:val="both"/>
        <w:textAlignment w:val="auto"/>
        <w:rPr>
          <w:rFonts w:hint="eastAsia" w:ascii="微软雅黑" w:hAnsi="微软雅黑" w:eastAsia="微软雅黑" w:cs="微软雅黑"/>
          <w:color w:val="000000" w:themeColor="text1"/>
          <w:spacing w:val="4"/>
          <w:sz w:val="24"/>
          <w:szCs w:val="24"/>
          <w:u w:val="single"/>
          <w14:textFill>
            <w14:solidFill>
              <w14:schemeClr w14:val="tx1"/>
            </w14:solidFill>
          </w14:textFill>
        </w:rPr>
      </w:pPr>
      <w:r>
        <w:rPr>
          <w:rFonts w:hint="eastAsia" w:ascii="微软雅黑" w:hAnsi="微软雅黑" w:eastAsia="微软雅黑" w:cs="微软雅黑"/>
          <w:color w:val="000000" w:themeColor="text1"/>
          <w:spacing w:val="4"/>
          <w:sz w:val="24"/>
          <w:szCs w:val="24"/>
          <w14:textFill>
            <w14:solidFill>
              <w14:schemeClr w14:val="tx1"/>
            </w14:solidFill>
          </w14:textFill>
        </w:rPr>
        <w:t>开户行：</w:t>
      </w:r>
      <w:r>
        <w:rPr>
          <w:rFonts w:hint="eastAsia" w:ascii="微软雅黑" w:hAnsi="微软雅黑" w:eastAsia="微软雅黑" w:cs="微软雅黑"/>
          <w:color w:val="000000" w:themeColor="text1"/>
          <w:spacing w:val="4"/>
          <w:sz w:val="24"/>
          <w:szCs w:val="24"/>
          <w:u w:val="single"/>
          <w14:textFill>
            <w14:solidFill>
              <w14:schemeClr w14:val="tx1"/>
            </w14:solidFill>
          </w14:textFill>
        </w:rPr>
        <w:t xml:space="preserve">                              </w:t>
      </w:r>
    </w:p>
    <w:p w14:paraId="27A32D7F">
      <w:pPr>
        <w:keepNext w:val="0"/>
        <w:keepLines w:val="0"/>
        <w:pageBreakBefore w:val="0"/>
        <w:widowControl/>
        <w:tabs>
          <w:tab w:val="left" w:pos="2800"/>
        </w:tabs>
        <w:kinsoku/>
        <w:wordWrap/>
        <w:overflowPunct/>
        <w:topLinePunct w:val="0"/>
        <w:autoSpaceDE/>
        <w:autoSpaceDN/>
        <w:bidi w:val="0"/>
        <w:adjustRightInd/>
        <w:snapToGrid/>
        <w:spacing w:line="360" w:lineRule="auto"/>
        <w:ind w:firstLine="496" w:firstLineChars="200"/>
        <w:jc w:val="both"/>
        <w:textAlignment w:val="auto"/>
        <w:rPr>
          <w:rFonts w:hint="eastAsia" w:ascii="微软雅黑" w:hAnsi="微软雅黑" w:eastAsia="微软雅黑" w:cs="微软雅黑"/>
          <w:color w:val="000000" w:themeColor="text1"/>
          <w:spacing w:val="4"/>
          <w:sz w:val="24"/>
          <w:szCs w:val="24"/>
          <w14:textFill>
            <w14:solidFill>
              <w14:schemeClr w14:val="tx1"/>
            </w14:solidFill>
          </w14:textFill>
        </w:rPr>
      </w:pPr>
      <w:r>
        <w:rPr>
          <w:rFonts w:hint="eastAsia" w:ascii="微软雅黑" w:hAnsi="微软雅黑" w:eastAsia="微软雅黑" w:cs="微软雅黑"/>
          <w:color w:val="000000" w:themeColor="text1"/>
          <w:spacing w:val="4"/>
          <w:sz w:val="24"/>
          <w:szCs w:val="24"/>
          <w14:textFill>
            <w14:solidFill>
              <w14:schemeClr w14:val="tx1"/>
            </w14:solidFill>
          </w14:textFill>
        </w:rPr>
        <w:t xml:space="preserve">户名: </w:t>
      </w:r>
      <w:r>
        <w:rPr>
          <w:rFonts w:hint="eastAsia" w:ascii="微软雅黑" w:hAnsi="微软雅黑" w:eastAsia="微软雅黑" w:cs="微软雅黑"/>
          <w:color w:val="000000" w:themeColor="text1"/>
          <w:spacing w:val="4"/>
          <w:sz w:val="24"/>
          <w:szCs w:val="24"/>
          <w:u w:val="single"/>
          <w14:textFill>
            <w14:solidFill>
              <w14:schemeClr w14:val="tx1"/>
            </w14:solidFill>
          </w14:textFill>
        </w:rPr>
        <w:t xml:space="preserve">                                </w:t>
      </w:r>
    </w:p>
    <w:p w14:paraId="22F460A8">
      <w:pPr>
        <w:keepNext w:val="0"/>
        <w:keepLines w:val="0"/>
        <w:pageBreakBefore w:val="0"/>
        <w:widowControl/>
        <w:tabs>
          <w:tab w:val="left" w:pos="2800"/>
        </w:tabs>
        <w:kinsoku/>
        <w:wordWrap/>
        <w:overflowPunct/>
        <w:topLinePunct w:val="0"/>
        <w:autoSpaceDE/>
        <w:autoSpaceDN/>
        <w:bidi w:val="0"/>
        <w:adjustRightInd/>
        <w:snapToGrid/>
        <w:spacing w:line="360" w:lineRule="auto"/>
        <w:ind w:firstLine="496" w:firstLineChars="200"/>
        <w:jc w:val="both"/>
        <w:textAlignment w:val="auto"/>
        <w:rPr>
          <w:rFonts w:hint="eastAsia" w:ascii="微软雅黑" w:hAnsi="微软雅黑" w:eastAsia="微软雅黑" w:cs="微软雅黑"/>
          <w:color w:val="000000" w:themeColor="text1"/>
          <w:spacing w:val="4"/>
          <w:sz w:val="24"/>
          <w:szCs w:val="24"/>
          <w14:textFill>
            <w14:solidFill>
              <w14:schemeClr w14:val="tx1"/>
            </w14:solidFill>
          </w14:textFill>
        </w:rPr>
      </w:pPr>
      <w:r>
        <w:rPr>
          <w:rFonts w:hint="eastAsia" w:ascii="微软雅黑" w:hAnsi="微软雅黑" w:eastAsia="微软雅黑" w:cs="微软雅黑"/>
          <w:color w:val="000000" w:themeColor="text1"/>
          <w:spacing w:val="4"/>
          <w:sz w:val="24"/>
          <w:szCs w:val="24"/>
          <w14:textFill>
            <w14:solidFill>
              <w14:schemeClr w14:val="tx1"/>
            </w14:solidFill>
          </w14:textFill>
        </w:rPr>
        <w:t>账号：</w:t>
      </w:r>
      <w:r>
        <w:rPr>
          <w:rFonts w:hint="eastAsia" w:ascii="微软雅黑" w:hAnsi="微软雅黑" w:eastAsia="微软雅黑" w:cs="微软雅黑"/>
          <w:color w:val="000000" w:themeColor="text1"/>
          <w:spacing w:val="4"/>
          <w:sz w:val="24"/>
          <w:szCs w:val="24"/>
          <w:u w:val="single"/>
          <w14:textFill>
            <w14:solidFill>
              <w14:schemeClr w14:val="tx1"/>
            </w14:solidFill>
          </w14:textFill>
        </w:rPr>
        <w:t xml:space="preserve">                                </w:t>
      </w:r>
    </w:p>
    <w:p w14:paraId="1DA4A1EB">
      <w:pPr>
        <w:keepNext w:val="0"/>
        <w:keepLines w:val="0"/>
        <w:pageBreakBefore w:val="0"/>
        <w:tabs>
          <w:tab w:val="left" w:pos="2800"/>
        </w:tabs>
        <w:kinsoku/>
        <w:wordWrap/>
        <w:overflowPunct/>
        <w:topLinePunct w:val="0"/>
        <w:autoSpaceDE/>
        <w:autoSpaceDN/>
        <w:bidi w:val="0"/>
        <w:adjustRightInd/>
        <w:snapToGrid/>
        <w:spacing w:line="360" w:lineRule="auto"/>
        <w:ind w:firstLine="496" w:firstLineChars="200"/>
        <w:jc w:val="both"/>
        <w:textAlignment w:val="auto"/>
        <w:rPr>
          <w:rFonts w:hint="eastAsia" w:ascii="微软雅黑" w:hAnsi="微软雅黑" w:eastAsia="微软雅黑" w:cs="微软雅黑"/>
          <w:color w:val="000000" w:themeColor="text1"/>
          <w:spacing w:val="4"/>
          <w:sz w:val="24"/>
          <w:szCs w:val="24"/>
          <w14:textFill>
            <w14:solidFill>
              <w14:schemeClr w14:val="tx1"/>
            </w14:solidFill>
          </w14:textFill>
        </w:rPr>
      </w:pPr>
      <w:r>
        <w:rPr>
          <w:rFonts w:hint="eastAsia" w:ascii="微软雅黑" w:hAnsi="微软雅黑" w:eastAsia="微软雅黑" w:cs="微软雅黑"/>
          <w:color w:val="000000" w:themeColor="text1"/>
          <w:spacing w:val="4"/>
          <w:sz w:val="24"/>
          <w:szCs w:val="24"/>
          <w14:textFill>
            <w14:solidFill>
              <w14:schemeClr w14:val="tx1"/>
            </w14:solidFill>
          </w14:textFill>
        </w:rPr>
        <w:t>以上账户信息如有任何变更，甲方应立即书面通知乙方。</w:t>
      </w:r>
    </w:p>
    <w:p w14:paraId="49190966">
      <w:pPr>
        <w:keepNext w:val="0"/>
        <w:keepLines w:val="0"/>
        <w:pageBreakBefore w:val="0"/>
        <w:numPr>
          <w:ilvl w:val="0"/>
          <w:numId w:val="6"/>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发票</w:t>
      </w:r>
      <w:r>
        <w:rPr>
          <w:rFonts w:hint="eastAsia" w:ascii="微软雅黑" w:hAnsi="微软雅黑" w:eastAsia="微软雅黑" w:cs="微软雅黑"/>
          <w:bCs/>
          <w:color w:val="000000" w:themeColor="text1"/>
          <w:sz w:val="24"/>
          <w:szCs w:val="24"/>
          <w14:textFill>
            <w14:solidFill>
              <w14:schemeClr w14:val="tx1"/>
            </w14:solidFill>
          </w14:textFill>
        </w:rPr>
        <w:t>：</w:t>
      </w:r>
    </w:p>
    <w:p w14:paraId="6581FC5C">
      <w:pPr>
        <w:keepNext w:val="0"/>
        <w:keepLines w:val="0"/>
        <w:pageBreakBefore w:val="0"/>
        <w:numPr>
          <w:ilvl w:val="0"/>
          <w:numId w:val="8"/>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本次租赁的开票采取以下第</w:t>
      </w:r>
      <w:r>
        <w:rPr>
          <w:rFonts w:hint="eastAsia" w:ascii="微软雅黑" w:hAnsi="微软雅黑" w:eastAsia="微软雅黑" w:cs="微软雅黑"/>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Cs/>
          <w:color w:val="000000" w:themeColor="text1"/>
          <w:sz w:val="24"/>
          <w:szCs w:val="24"/>
          <w14:textFill>
            <w14:solidFill>
              <w14:schemeClr w14:val="tx1"/>
            </w14:solidFill>
          </w14:textFill>
        </w:rPr>
        <w:t>种方式：</w:t>
      </w:r>
    </w:p>
    <w:p w14:paraId="6C608175">
      <w:pPr>
        <w:keepNext w:val="0"/>
        <w:keepLines w:val="0"/>
        <w:pageBreakBefore w:val="0"/>
        <w:numPr>
          <w:ilvl w:val="0"/>
          <w:numId w:val="9"/>
        </w:numPr>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甲方无需向乙方开具发票，</w:t>
      </w:r>
      <w:r>
        <w:rPr>
          <w:rFonts w:hint="eastAsia" w:ascii="微软雅黑" w:hAnsi="微软雅黑" w:eastAsia="微软雅黑" w:cs="微软雅黑"/>
          <w:color w:val="000000" w:themeColor="text1"/>
          <w:sz w:val="24"/>
          <w:szCs w:val="24"/>
          <w14:textFill>
            <w14:solidFill>
              <w14:schemeClr w14:val="tx1"/>
            </w14:solidFill>
          </w14:textFill>
        </w:rPr>
        <w:t>如乙方需要的，由其自行向税局购买并缴纳税款</w:t>
      </w:r>
      <w:r>
        <w:rPr>
          <w:rFonts w:hint="eastAsia" w:ascii="微软雅黑" w:hAnsi="微软雅黑" w:eastAsia="微软雅黑" w:cs="微软雅黑"/>
          <w:bCs/>
          <w:color w:val="000000" w:themeColor="text1"/>
          <w:sz w:val="24"/>
          <w:szCs w:val="24"/>
          <w14:textFill>
            <w14:solidFill>
              <w14:schemeClr w14:val="tx1"/>
            </w14:solidFill>
          </w14:textFill>
        </w:rPr>
        <w:t>。</w:t>
      </w:r>
    </w:p>
    <w:p w14:paraId="0779A077">
      <w:pPr>
        <w:keepNext w:val="0"/>
        <w:keepLines w:val="0"/>
        <w:pageBreakBefore w:val="0"/>
        <w:numPr>
          <w:ilvl w:val="0"/>
          <w:numId w:val="9"/>
        </w:numPr>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本合同为含税价，甲方在收到乙方当期租金后及时开具发票。</w:t>
      </w:r>
    </w:p>
    <w:p w14:paraId="2F8B4494">
      <w:pPr>
        <w:keepNext w:val="0"/>
        <w:keepLines w:val="0"/>
        <w:pageBreakBefore w:val="0"/>
        <w:numPr>
          <w:ilvl w:val="0"/>
          <w:numId w:val="8"/>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乙方经营过程中产生的税费乙方须按时自行缴纳。</w:t>
      </w:r>
    </w:p>
    <w:p w14:paraId="21F5DBBB">
      <w:pPr>
        <w:keepNext w:val="0"/>
        <w:keepLines w:val="0"/>
        <w:pageBreakBefore w:val="0"/>
        <w:numPr>
          <w:ilvl w:val="0"/>
          <w:numId w:val="6"/>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装修费用</w:t>
      </w:r>
      <w:r>
        <w:rPr>
          <w:rFonts w:hint="eastAsia" w:ascii="微软雅黑" w:hAnsi="微软雅黑" w:eastAsia="微软雅黑" w:cs="微软雅黑"/>
          <w:bCs/>
          <w:color w:val="000000" w:themeColor="text1"/>
          <w:sz w:val="24"/>
          <w:szCs w:val="24"/>
          <w14:textFill>
            <w14:solidFill>
              <w14:schemeClr w14:val="tx1"/>
            </w14:solidFill>
          </w14:textFill>
        </w:rPr>
        <w:t>：</w:t>
      </w:r>
    </w:p>
    <w:p w14:paraId="7B07EE85">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该房屋</w:t>
      </w:r>
      <w:r>
        <w:rPr>
          <w:rFonts w:hint="eastAsia" w:ascii="微软雅黑" w:hAnsi="微软雅黑" w:eastAsia="微软雅黑" w:cs="微软雅黑"/>
          <w:bCs/>
          <w:color w:val="000000" w:themeColor="text1"/>
          <w:sz w:val="24"/>
          <w:szCs w:val="24"/>
          <w14:textFill>
            <w14:solidFill>
              <w14:schemeClr w14:val="tx1"/>
            </w14:solidFill>
          </w14:textFill>
        </w:rPr>
        <w:t>装修费用由乙方承担。</w:t>
      </w:r>
    </w:p>
    <w:p w14:paraId="17DCA750">
      <w:pPr>
        <w:keepNext w:val="0"/>
        <w:keepLines w:val="0"/>
        <w:pageBreakBefore w:val="0"/>
        <w:numPr>
          <w:ilvl w:val="0"/>
          <w:numId w:val="6"/>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履约保证金</w:t>
      </w:r>
      <w:r>
        <w:rPr>
          <w:rFonts w:hint="eastAsia" w:ascii="微软雅黑" w:hAnsi="微软雅黑" w:eastAsia="微软雅黑" w:cs="微软雅黑"/>
          <w:bCs/>
          <w:color w:val="000000" w:themeColor="text1"/>
          <w:sz w:val="24"/>
          <w:szCs w:val="24"/>
          <w14:textFill>
            <w14:solidFill>
              <w14:schemeClr w14:val="tx1"/>
            </w14:solidFill>
          </w14:textFill>
        </w:rPr>
        <w:t>：</w:t>
      </w:r>
    </w:p>
    <w:p w14:paraId="4FEBFCD9">
      <w:pPr>
        <w:keepNext w:val="0"/>
        <w:keepLines w:val="0"/>
        <w:pageBreakBefore w:val="0"/>
        <w:numPr>
          <w:ilvl w:val="0"/>
          <w:numId w:val="10"/>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乙方在本合同签订后</w:t>
      </w:r>
      <w:r>
        <w:rPr>
          <w:rFonts w:hint="eastAsia" w:ascii="微软雅黑" w:hAnsi="微软雅黑" w:eastAsia="微软雅黑" w:cs="微软雅黑"/>
          <w:color w:val="000000" w:themeColor="text1"/>
          <w:spacing w:val="4"/>
          <w:sz w:val="24"/>
          <w:szCs w:val="24"/>
          <w14:textFill>
            <w14:solidFill>
              <w14:schemeClr w14:val="tx1"/>
            </w14:solidFill>
          </w14:textFill>
        </w:rPr>
        <w:t>7个工作日内向甲方交付履约保证金¥</w:t>
      </w:r>
      <w:r>
        <w:rPr>
          <w:rFonts w:hint="eastAsia" w:ascii="微软雅黑" w:hAnsi="微软雅黑" w:eastAsia="微软雅黑" w:cs="微软雅黑"/>
          <w:color w:val="000000" w:themeColor="text1"/>
          <w:spacing w:val="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pacing w:val="4"/>
          <w:sz w:val="24"/>
          <w:szCs w:val="24"/>
          <w14:textFill>
            <w14:solidFill>
              <w14:schemeClr w14:val="tx1"/>
            </w14:solidFill>
          </w14:textFill>
        </w:rPr>
        <w:t>元（大写：</w:t>
      </w:r>
      <w:r>
        <w:rPr>
          <w:rFonts w:hint="eastAsia" w:ascii="微软雅黑" w:hAnsi="微软雅黑" w:eastAsia="微软雅黑" w:cs="微软雅黑"/>
          <w:bCs/>
          <w:color w:val="000000" w:themeColor="text1"/>
          <w:sz w:val="24"/>
          <w:szCs w:val="24"/>
          <w14:textFill>
            <w14:solidFill>
              <w14:schemeClr w14:val="tx1"/>
            </w14:solidFill>
          </w14:textFill>
        </w:rPr>
        <w:t>人民币</w:t>
      </w:r>
      <w:r>
        <w:rPr>
          <w:rFonts w:hint="eastAsia" w:ascii="微软雅黑" w:hAnsi="微软雅黑" w:eastAsia="微软雅黑" w:cs="微软雅黑"/>
          <w:color w:val="000000" w:themeColor="text1"/>
          <w:spacing w:val="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pacing w:val="4"/>
          <w:sz w:val="24"/>
          <w:szCs w:val="24"/>
          <w14:textFill>
            <w14:solidFill>
              <w14:schemeClr w14:val="tx1"/>
            </w14:solidFill>
          </w14:textFill>
        </w:rPr>
        <w:t>元），作为乙方履行本合同的担保。若乙方无故终止履行本合同或因乙方违约导致甲方解除本合同的，履约保证金归甲方所有；除此之外，在本合同终止或提前解除时，履约保证金在抵扣乙方未结清的租金、物业服务费、商业管理费和水电费用以及乙方</w:t>
      </w:r>
      <w:r>
        <w:rPr>
          <w:rFonts w:hint="eastAsia" w:ascii="微软雅黑" w:hAnsi="微软雅黑" w:eastAsia="微软雅黑" w:cs="微软雅黑"/>
          <w:color w:val="000000" w:themeColor="text1"/>
          <w:sz w:val="24"/>
          <w:szCs w:val="24"/>
          <w14:textFill>
            <w14:solidFill>
              <w14:schemeClr w14:val="tx1"/>
            </w14:solidFill>
          </w14:textFill>
        </w:rPr>
        <w:t>应承担的违约赔偿金，且乙方将租赁房屋完好交还给甲方并经甲方验收合格后，甲方将履约保证金剩余部分无息退还乙方。</w:t>
      </w:r>
    </w:p>
    <w:p w14:paraId="03C3AE14">
      <w:pPr>
        <w:keepNext w:val="0"/>
        <w:keepLines w:val="0"/>
        <w:pageBreakBefore w:val="0"/>
        <w:numPr>
          <w:ilvl w:val="0"/>
          <w:numId w:val="10"/>
        </w:numPr>
        <w:tabs>
          <w:tab w:val="left" w:pos="2800"/>
        </w:tabs>
        <w:kinsoku/>
        <w:wordWrap/>
        <w:overflowPunct/>
        <w:topLinePunct w:val="0"/>
        <w:autoSpaceDE/>
        <w:autoSpaceDN/>
        <w:bidi w:val="0"/>
        <w:adjustRightInd/>
        <w:snapToGrid/>
        <w:spacing w:line="360" w:lineRule="auto"/>
        <w:ind w:left="0" w:firstLine="496"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pacing w:val="4"/>
          <w:sz w:val="24"/>
          <w:szCs w:val="24"/>
          <w14:textFill>
            <w14:solidFill>
              <w14:schemeClr w14:val="tx1"/>
            </w14:solidFill>
          </w14:textFill>
        </w:rPr>
        <w:t>租赁期间，如果乙方有违反或不履行本合同的行为，甲方有权直接抵扣履约保证金，以补偿甲方因乙方该等行为给甲方或第三人造成的损失或损害，但甲方应在抵扣行为发生后3个工作日内书面通知乙方。乙方应在书面抵扣通知送达的5个工作日内把被甲方扣除部分的履约保证金重新补足，期满乙方未补足的，甲方有权选择单方解除本合同。履约保证金不足以弥补甲方或第三人损失的，甲方有权进行追索。</w:t>
      </w:r>
    </w:p>
    <w:p w14:paraId="29C514BC">
      <w:pPr>
        <w:keepNext w:val="0"/>
        <w:keepLines w:val="0"/>
        <w:pageBreakBefore w:val="0"/>
        <w:numPr>
          <w:ilvl w:val="0"/>
          <w:numId w:val="6"/>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其他费用：</w:t>
      </w:r>
    </w:p>
    <w:p w14:paraId="43258956">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使用租赁房屋产生的其他所有费用，包括但不限于水电费、煤气费、电话费、网络使用费、有线电视收视费、治安管理费、卫生或垃圾清运费、税金、罚款等费用，乙方应按时按实际发生额向相关部门或代收代缴单位缴纳。因乙方不按规定缴纳而产生的一切后果均由乙方自行承担，给甲方造成损失的，乙方应当赔偿。</w:t>
      </w:r>
    </w:p>
    <w:p w14:paraId="2D120AC8">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物业服务</w:t>
      </w:r>
    </w:p>
    <w:p w14:paraId="5E596C48">
      <w:pPr>
        <w:pStyle w:val="5"/>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lang w:bidi="ar-SA"/>
          <w14:textFill>
            <w14:solidFill>
              <w14:schemeClr w14:val="tx1"/>
            </w14:solidFill>
          </w14:textFill>
        </w:rPr>
      </w:pPr>
      <w:r>
        <w:rPr>
          <w:rFonts w:hint="eastAsia" w:ascii="微软雅黑" w:hAnsi="微软雅黑" w:eastAsia="微软雅黑" w:cs="微软雅黑"/>
          <w:color w:val="000000" w:themeColor="text1"/>
          <w:sz w:val="24"/>
          <w:szCs w:val="24"/>
          <w:lang w:bidi="ar-SA"/>
          <w14:textFill>
            <w14:solidFill>
              <w14:schemeClr w14:val="tx1"/>
            </w14:solidFill>
          </w14:textFill>
        </w:rPr>
        <w:t>双方约定在本合同租期内，乙方租赁房屋由</w:t>
      </w:r>
      <w:r>
        <w:rPr>
          <w:rFonts w:hint="eastAsia" w:ascii="微软雅黑" w:hAnsi="微软雅黑" w:eastAsia="微软雅黑" w:cs="微软雅黑"/>
          <w:color w:val="000000" w:themeColor="text1"/>
          <w:sz w:val="24"/>
          <w:szCs w:val="24"/>
          <w:u w:val="single"/>
          <w:lang w:bidi="ar-SA"/>
          <w14:textFill>
            <w14:solidFill>
              <w14:schemeClr w14:val="tx1"/>
            </w14:solidFill>
          </w14:textFill>
        </w:rPr>
        <w:t xml:space="preserve">               </w:t>
      </w:r>
      <w:r>
        <w:rPr>
          <w:rFonts w:hint="eastAsia" w:ascii="微软雅黑" w:hAnsi="微软雅黑" w:eastAsia="微软雅黑" w:cs="微软雅黑"/>
          <w:color w:val="000000" w:themeColor="text1"/>
          <w:sz w:val="24"/>
          <w:szCs w:val="24"/>
          <w:lang w:bidi="ar-SA"/>
          <w14:textFill>
            <w14:solidFill>
              <w14:schemeClr w14:val="tx1"/>
            </w14:solidFill>
          </w14:textFill>
        </w:rPr>
        <w:t xml:space="preserve"> （以下简称物业公司）提供物业管理服务，乙方应在接房时与物业公司签订相关的物业管理服务协议，并缴纳相关的费用。</w:t>
      </w:r>
    </w:p>
    <w:p w14:paraId="13DB3161">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对租赁房屋的使用要求</w:t>
      </w:r>
    </w:p>
    <w:p w14:paraId="6C955AED">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消防系统：</w:t>
      </w:r>
    </w:p>
    <w:p w14:paraId="5612A96D">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租赁房屋为统一消防系统，已按相关规范分区设置消防控制系统，甲方负责本项目主体工程的消防验收。乙方进场装修时应根据自身布置的功能区及疏散通道进行内部二次消防设计、申报、改造施工，并负责验收合格及办理开业备案手续。自甲方交付租赁房屋至乙方将租赁房屋交还甲方期间，若因乙方责任造成整个项目的消防系统不能联动，乙方应按照甲方规定的时限整改完毕。若乙方未在规定时限整改完毕，甲方可以自行委托第三方径行维修，产生的费用由乙方承担。</w:t>
      </w:r>
    </w:p>
    <w:p w14:paraId="293D6E0C">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装修：</w:t>
      </w:r>
    </w:p>
    <w:p w14:paraId="0825502D">
      <w:pPr>
        <w:keepNext w:val="0"/>
        <w:keepLines w:val="0"/>
        <w:pageBreakBefore w:val="0"/>
        <w:numPr>
          <w:ilvl w:val="0"/>
          <w:numId w:val="12"/>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如需对租赁房屋进行装修，费用全部由乙方承担，同时须提前向甲方提出书面申请，并提交全套施工图设计文件（该设计文件必须满足《建筑施工图设计文件深度要求规定》（2003）相关条款要求）、施工期限等资料，在与甲方签订</w:t>
      </w:r>
      <w:r>
        <w:rPr>
          <w:rFonts w:hint="eastAsia" w:ascii="微软雅黑" w:hAnsi="微软雅黑" w:eastAsia="微软雅黑" w:cs="微软雅黑"/>
          <w:color w:val="000000" w:themeColor="text1"/>
          <w:sz w:val="24"/>
          <w:szCs w:val="24"/>
          <w:u w:val="single"/>
          <w14:textFill>
            <w14:solidFill>
              <w14:schemeClr w14:val="tx1"/>
            </w14:solidFill>
          </w14:textFill>
        </w:rPr>
        <w:t>《商业区装修管理协议》</w:t>
      </w:r>
      <w:r>
        <w:rPr>
          <w:rFonts w:hint="eastAsia" w:ascii="微软雅黑" w:hAnsi="微软雅黑" w:eastAsia="微软雅黑" w:cs="微软雅黑"/>
          <w:color w:val="000000" w:themeColor="text1"/>
          <w:sz w:val="24"/>
          <w:szCs w:val="24"/>
          <w14:textFill>
            <w14:solidFill>
              <w14:schemeClr w14:val="tx1"/>
            </w14:solidFill>
          </w14:textFill>
        </w:rPr>
        <w:t>并支付装修保证金等费用后方可进场装修。</w:t>
      </w:r>
    </w:p>
    <w:p w14:paraId="6FC02F64">
      <w:pPr>
        <w:keepNext w:val="0"/>
        <w:keepLines w:val="0"/>
        <w:pageBreakBefore w:val="0"/>
        <w:numPr>
          <w:ilvl w:val="0"/>
          <w:numId w:val="12"/>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乙方应当在租赁房屋所在商场开业（试营业）前装修完毕并通过验收，装修完毕经甲方组织相关部门验收合格后方可使用租赁房屋。</w:t>
      </w:r>
    </w:p>
    <w:p w14:paraId="1A8E8C58">
      <w:pPr>
        <w:keepNext w:val="0"/>
        <w:keepLines w:val="0"/>
        <w:pageBreakBefore w:val="0"/>
        <w:numPr>
          <w:ilvl w:val="0"/>
          <w:numId w:val="12"/>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在装修过程中，乙方须遵守国家有关建设、装修、消防、</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保险</w:t>
      </w:r>
      <w:r>
        <w:rPr>
          <w:rFonts w:hint="eastAsia" w:ascii="微软雅黑" w:hAnsi="微软雅黑" w:eastAsia="微软雅黑" w:cs="微软雅黑"/>
          <w:color w:val="000000" w:themeColor="text1"/>
          <w:sz w:val="24"/>
          <w:szCs w:val="24"/>
          <w14:textFill>
            <w14:solidFill>
              <w14:schemeClr w14:val="tx1"/>
            </w14:solidFill>
          </w14:textFill>
        </w:rPr>
        <w:t>等方面的法律法规、政府规范性文件等规定，遵守甲方以及物业公司的有关要求，不能拆改、变动租赁房屋主体、承重结构</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（包括但不限于现有厨卫位置、水电线路等）、不能占用消防通道、私自搭接水电线路、危害相邻租户的安全</w:t>
      </w:r>
      <w:r>
        <w:rPr>
          <w:rFonts w:hint="eastAsia" w:ascii="微软雅黑" w:hAnsi="微软雅黑" w:eastAsia="微软雅黑" w:cs="微软雅黑"/>
          <w:color w:val="000000" w:themeColor="text1"/>
          <w:sz w:val="24"/>
          <w:szCs w:val="24"/>
          <w14:textFill>
            <w14:solidFill>
              <w14:schemeClr w14:val="tx1"/>
            </w14:solidFill>
          </w14:textFill>
        </w:rPr>
        <w:t>，否则甲方有权书面要求乙方整改，逾期未按甲方要求整改的，甲方有权单方解除本合同，并由乙方自行承担相应责任及损失。</w:t>
      </w:r>
    </w:p>
    <w:p w14:paraId="7275645A">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广告：</w:t>
      </w:r>
    </w:p>
    <w:p w14:paraId="1CF51D3C">
      <w:pPr>
        <w:keepNext w:val="0"/>
        <w:keepLines w:val="0"/>
        <w:pageBreakBefore w:val="0"/>
        <w:numPr>
          <w:ilvl w:val="0"/>
          <w:numId w:val="13"/>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在租赁期间为了营造商业气氛，提升乙方的整体形象，乙方可进行推广宣传或在甲方指定位置发布广告，所采用的营销推广的内容及形式，应遵守国家相关规定及办理相关手续，并在征得甲方的书面审批同意后方可进行。</w:t>
      </w:r>
    </w:p>
    <w:p w14:paraId="41AF6C58">
      <w:pPr>
        <w:keepNext w:val="0"/>
        <w:keepLines w:val="0"/>
        <w:pageBreakBefore w:val="0"/>
        <w:numPr>
          <w:ilvl w:val="0"/>
          <w:numId w:val="13"/>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乙方制作企业形象宣传及发布广告，所产生的所有策划、制作、发布、维护及政府职能部门针对广告位所收取的一切相关费用（包括城市空间占用费）和法律责任由乙方独自承担。</w:t>
      </w:r>
    </w:p>
    <w:p w14:paraId="301C3D0E">
      <w:pPr>
        <w:keepNext w:val="0"/>
        <w:keepLines w:val="0"/>
        <w:pageBreakBefore w:val="0"/>
        <w:numPr>
          <w:ilvl w:val="0"/>
          <w:numId w:val="13"/>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乙方独立对其营销推广的内容及形式的安全性及真实性承担全部责任。乙方应对店招、广告位等进行定期或不定期维护。</w:t>
      </w:r>
    </w:p>
    <w:p w14:paraId="6BD29CF1">
      <w:pPr>
        <w:keepNext w:val="0"/>
        <w:keepLines w:val="0"/>
        <w:pageBreakBefore w:val="0"/>
        <w:numPr>
          <w:ilvl w:val="0"/>
          <w:numId w:val="13"/>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租赁期结束或合同提前解除的，乙方须立即将广告位完好无损归还甲方。甲方收回广告位时，乙方如未撤走广告位上的广告牌的，视为乙方放弃所有权利并授权甲方处理，由此产生的费用由乙方承担。</w:t>
      </w:r>
    </w:p>
    <w:p w14:paraId="26695CC7">
      <w:pPr>
        <w:keepNext w:val="0"/>
        <w:keepLines w:val="0"/>
        <w:pageBreakBefore w:val="0"/>
        <w:numPr>
          <w:ilvl w:val="0"/>
          <w:numId w:val="13"/>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具体广告位见附图。</w:t>
      </w:r>
    </w:p>
    <w:p w14:paraId="716F2044">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设备、设施的维护、维修：</w:t>
      </w:r>
    </w:p>
    <w:p w14:paraId="3D37B302">
      <w:pPr>
        <w:keepNext w:val="0"/>
        <w:keepLines w:val="0"/>
        <w:pageBreakBefore w:val="0"/>
        <w:numPr>
          <w:ilvl w:val="0"/>
          <w:numId w:val="14"/>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提供给乙方单独使用及租赁房屋内部的设备、设施由乙方负责保养、维修或更新（公共电梯除外）,并承担相应费用；如乙方不履行该维护、维修义务致使租赁房屋或设备、设施损毁或有损毁风险的，甲方有权自行或委托第三人进行修理，由此产生的费用由乙方承担，甲方可以从乙方缴纳的履约保证金中扣除</w:t>
      </w:r>
      <w:r>
        <w:rPr>
          <w:rFonts w:hint="eastAsia" w:ascii="微软雅黑" w:hAnsi="微软雅黑" w:eastAsia="微软雅黑" w:cs="微软雅黑"/>
          <w:color w:val="000000" w:themeColor="text1"/>
          <w:sz w:val="24"/>
          <w:szCs w:val="24"/>
          <w:lang w:eastAsia="zh-CN"/>
          <w14:textFill>
            <w14:solidFill>
              <w14:schemeClr w14:val="tx1"/>
            </w14:solidFill>
          </w14:textFill>
        </w:rPr>
        <w:t>，不足部分甲方有权向乙方追偿</w:t>
      </w:r>
      <w:r>
        <w:rPr>
          <w:rFonts w:hint="eastAsia" w:ascii="微软雅黑" w:hAnsi="微软雅黑" w:eastAsia="微软雅黑" w:cs="微软雅黑"/>
          <w:color w:val="000000" w:themeColor="text1"/>
          <w:sz w:val="24"/>
          <w:szCs w:val="24"/>
          <w14:textFill>
            <w14:solidFill>
              <w14:schemeClr w14:val="tx1"/>
            </w14:solidFill>
          </w14:textFill>
        </w:rPr>
        <w:t>。</w:t>
      </w:r>
    </w:p>
    <w:p w14:paraId="5809A378">
      <w:pPr>
        <w:keepNext w:val="0"/>
        <w:keepLines w:val="0"/>
        <w:pageBreakBefore w:val="0"/>
        <w:numPr>
          <w:ilvl w:val="0"/>
          <w:numId w:val="14"/>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乙方应当妥善使用、爱护公共区域的设备、设施，并配合甲方对公共区域的设施、设备进行维护保养；如发现有损毁、灭失、不能正常使用等情况应当及时向甲方报告。</w:t>
      </w:r>
    </w:p>
    <w:p w14:paraId="286619AC">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乙方在使用租赁房屋的过程中，应遵守甲方及物业公司的各项管理规则，包括但不限于甲方或物业公司公布的或向乙方不定时发出的管理规则、守则、指引及与管理有关的各项通知等。</w:t>
      </w:r>
    </w:p>
    <w:p w14:paraId="2EFB05EB">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乙方在经营过程中，应做好扰民防范工作，不能影响周边居民及其他租户的正常生活经营，出现投诉应服从甲方及物业公司的协调管理。</w:t>
      </w:r>
    </w:p>
    <w:p w14:paraId="29CE8355">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乙方应当负责租赁房屋卫生、防火防盗安全工作，消除消防及其它安全隐患，不能占用消防通道，注意保护甲乙方顾客及工作人员的人身及财产安全。</w:t>
      </w:r>
    </w:p>
    <w:p w14:paraId="3C7870BD">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未经甲方书面同意，乙方不得改变租赁房屋的用途，不得将租赁房屋转租、分租、转让、转借、与他人交换使用、允许他人以乙方名义使用本合同租赁房屋或者将租赁房屋及基于该租赁房屋的经营项目向第三人承包、分包、联营、入股、抵押或以其他任何方式让与第三人经营等。</w:t>
      </w:r>
    </w:p>
    <w:p w14:paraId="5A05624E">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需要变更经营业态、品牌时，应当提前取得甲方的书面同意。拟变更的经营业态在项目范围内已有相同或类似商家的，在同业态下乙方的经营品牌和装修标准须高于已装修商家，否则乙方不得再经营该业态，双方就此不能达成一致的，视为乙方单方提前解除本合同。</w:t>
      </w:r>
    </w:p>
    <w:p w14:paraId="5E231636">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乙方必须按照甲方及政府有关部门的要求，在场地使用期内的任何时间移除该租赁房屋内任何乙方建造的不合规格的结构物、建筑物、分隔物及其他改建物，乙方自行承担由此产生的所有费用。</w:t>
      </w:r>
    </w:p>
    <w:p w14:paraId="6CE813C1">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如果乙方违反本合同约定或者</w:t>
      </w:r>
      <w:bookmarkStart w:id="2" w:name="OLE_LINK2"/>
      <w:r>
        <w:rPr>
          <w:rFonts w:hint="eastAsia" w:ascii="微软雅黑" w:hAnsi="微软雅黑" w:eastAsia="微软雅黑" w:cs="微软雅黑"/>
          <w:color w:val="000000" w:themeColor="text1"/>
          <w:sz w:val="24"/>
          <w:szCs w:val="24"/>
          <w14:textFill>
            <w14:solidFill>
              <w14:schemeClr w14:val="tx1"/>
            </w14:solidFill>
          </w14:textFill>
        </w:rPr>
        <w:t>甲方/物业公司</w:t>
      </w:r>
      <w:bookmarkEnd w:id="2"/>
      <w:r>
        <w:rPr>
          <w:rFonts w:hint="eastAsia" w:ascii="微软雅黑" w:hAnsi="微软雅黑" w:eastAsia="微软雅黑" w:cs="微软雅黑"/>
          <w:color w:val="000000" w:themeColor="text1"/>
          <w:sz w:val="24"/>
          <w:szCs w:val="24"/>
          <w14:textFill>
            <w14:solidFill>
              <w14:schemeClr w14:val="tx1"/>
            </w14:solidFill>
          </w14:textFill>
        </w:rPr>
        <w:t>的有关管理规定（包括但不限于漏水、排污、气味、噪音、光照等影响），造成消费者、商场其他租户投诉的，乙方应当立即按照甲方/物业公司的要求进行整改，乙方拒绝整改或者整改后再次违反的，每次扣除200元履约保证金。</w:t>
      </w:r>
    </w:p>
    <w:p w14:paraId="5D632372">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乙方保证按合同约定开门营业，并保证连续经营，开门时间为：每当天早上10:00-晚上21:00，连续关门2天的商户，履约保证金扣款200元∕次。</w:t>
      </w:r>
    </w:p>
    <w:p w14:paraId="7430196E">
      <w:pPr>
        <w:keepNext w:val="0"/>
        <w:keepLines w:val="0"/>
        <w:pageBreakBefore w:val="0"/>
        <w:numPr>
          <w:ilvl w:val="0"/>
          <w:numId w:val="11"/>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乙方违反本条关于租赁房屋使用要求，造成甲方或第三人遭受损失或损害的，应当承担全部责任，甲方有权可要求乙方立即停止侵害、恢复原状、赔偿损失，并有权从乙方缴纳的履约保证金中直接扣除相关费用，</w:t>
      </w:r>
      <w:r>
        <w:rPr>
          <w:rFonts w:hint="eastAsia" w:ascii="微软雅黑" w:hAnsi="微软雅黑" w:eastAsia="微软雅黑" w:cs="微软雅黑"/>
          <w:bCs/>
          <w:color w:val="000000" w:themeColor="text1"/>
          <w:sz w:val="24"/>
          <w:szCs w:val="24"/>
          <w14:textFill>
            <w14:solidFill>
              <w14:schemeClr w14:val="tx1"/>
            </w14:solidFill>
          </w14:textFill>
        </w:rPr>
        <w:t>履约保证金不足以弥补甲方损失的，甲方有权向乙方继续追索</w:t>
      </w:r>
      <w:r>
        <w:rPr>
          <w:rFonts w:hint="eastAsia" w:ascii="微软雅黑" w:hAnsi="微软雅黑" w:eastAsia="微软雅黑" w:cs="微软雅黑"/>
          <w:color w:val="000000" w:themeColor="text1"/>
          <w:sz w:val="24"/>
          <w:szCs w:val="24"/>
          <w14:textFill>
            <w14:solidFill>
              <w14:schemeClr w14:val="tx1"/>
            </w14:solidFill>
          </w14:textFill>
        </w:rPr>
        <w:t>。</w:t>
      </w:r>
    </w:p>
    <w:p w14:paraId="34DFED18">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合同的终止</w:t>
      </w:r>
    </w:p>
    <w:p w14:paraId="180C22BA">
      <w:pPr>
        <w:keepNext w:val="0"/>
        <w:keepLines w:val="0"/>
        <w:pageBreakBefore w:val="0"/>
        <w:numPr>
          <w:ilvl w:val="0"/>
          <w:numId w:val="15"/>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本合同约定的租赁期限届满，本合同终止。</w:t>
      </w:r>
    </w:p>
    <w:p w14:paraId="20D47B32">
      <w:pPr>
        <w:keepNext w:val="0"/>
        <w:keepLines w:val="0"/>
        <w:pageBreakBefore w:val="0"/>
        <w:numPr>
          <w:ilvl w:val="0"/>
          <w:numId w:val="15"/>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如遇国家需要征用征收、拆迁甲方房屋时，本合同自动终止，双方互不承担违约责任。针对房屋及甲方装修部分的拆迁补偿费用由甲方所有，针对乙方装修及添加物的补偿由乙方所有；甲方应于上述事件发生且乙方返还房屋后，将合同履约保证金和剩余房租在扣除乙方应交但未交费用后无息退还乙方。</w:t>
      </w:r>
    </w:p>
    <w:p w14:paraId="2359699C">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续租</w:t>
      </w:r>
    </w:p>
    <w:p w14:paraId="5543F74B">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本合同期满后如甲方需对本合同项下的房屋继续出租，在同等条件下，乙方享有优先承租权。乙方如需续租房屋，应在本合同期限届满60日前向甲方提出书面申请，逾期不提出申请的，或在租赁期限届满前30日内未能与甲方签订新的租赁合同的，视为乙方自动放弃优先承租权。</w:t>
      </w:r>
    </w:p>
    <w:p w14:paraId="18890793">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合同的变更、解除</w:t>
      </w:r>
    </w:p>
    <w:p w14:paraId="205C667D">
      <w:pPr>
        <w:keepNext w:val="0"/>
        <w:keepLines w:val="0"/>
        <w:pageBreakBefore w:val="0"/>
        <w:numPr>
          <w:ilvl w:val="0"/>
          <w:numId w:val="16"/>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经双方协商一致或政府政策对所租赁房屋有其他要求的</w:t>
      </w:r>
      <w:r>
        <w:rPr>
          <w:rFonts w:hint="eastAsia" w:ascii="微软雅黑" w:hAnsi="微软雅黑" w:eastAsia="微软雅黑" w:cs="微软雅黑"/>
          <w:color w:val="000000" w:themeColor="text1"/>
          <w:sz w:val="24"/>
          <w:szCs w:val="24"/>
          <w14:textFill>
            <w14:solidFill>
              <w14:schemeClr w14:val="tx1"/>
            </w14:solidFill>
          </w14:textFill>
        </w:rPr>
        <w:t>，可以变更、解除本合同，双方互不承担违约责任。</w:t>
      </w:r>
    </w:p>
    <w:p w14:paraId="68530AC4">
      <w:pPr>
        <w:keepNext w:val="0"/>
        <w:keepLines w:val="0"/>
        <w:pageBreakBefore w:val="0"/>
        <w:numPr>
          <w:ilvl w:val="0"/>
          <w:numId w:val="16"/>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甲方有以下行为之一的，视为甲方严重违约，乙方有权选择单方解除本合同：</w:t>
      </w:r>
    </w:p>
    <w:p w14:paraId="0C8ECEAC">
      <w:pPr>
        <w:keepNext w:val="0"/>
        <w:keepLines w:val="0"/>
        <w:pageBreakBefore w:val="0"/>
        <w:numPr>
          <w:ilvl w:val="0"/>
          <w:numId w:val="17"/>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超过</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日仍不能按期提供租赁房屋;</w:t>
      </w:r>
    </w:p>
    <w:p w14:paraId="3811CE80">
      <w:pPr>
        <w:keepNext w:val="0"/>
        <w:keepLines w:val="0"/>
        <w:pageBreakBefore w:val="0"/>
        <w:numPr>
          <w:ilvl w:val="0"/>
          <w:numId w:val="17"/>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所提供租赁房屋存在严重质量问题，达不到本合同约定使用目的。</w:t>
      </w:r>
    </w:p>
    <w:p w14:paraId="2A5B42E6">
      <w:pPr>
        <w:keepNext w:val="0"/>
        <w:keepLines w:val="0"/>
        <w:pageBreakBefore w:val="0"/>
        <w:numPr>
          <w:ilvl w:val="0"/>
          <w:numId w:val="16"/>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Hans"/>
          <w14:textFill>
            <w14:solidFill>
              <w14:schemeClr w14:val="tx1"/>
            </w14:solidFill>
          </w14:textFill>
        </w:rPr>
        <w:t>乙方有下列情形之一的，视为乙方严重违约，甲方有权单方解除合同，</w:t>
      </w:r>
      <w:r>
        <w:rPr>
          <w:rFonts w:hint="eastAsia" w:ascii="微软雅黑" w:hAnsi="微软雅黑" w:eastAsia="微软雅黑" w:cs="微软雅黑"/>
          <w:color w:val="000000" w:themeColor="text1"/>
          <w:sz w:val="24"/>
          <w:szCs w:val="24"/>
          <w14:textFill>
            <w14:solidFill>
              <w14:schemeClr w14:val="tx1"/>
            </w14:solidFill>
          </w14:textFill>
        </w:rPr>
        <w:t xml:space="preserve">收回租赁房屋： </w:t>
      </w:r>
    </w:p>
    <w:p w14:paraId="559C90EB">
      <w:pPr>
        <w:keepNext w:val="0"/>
        <w:keepLines w:val="0"/>
        <w:pageBreakBefore w:val="0"/>
        <w:numPr>
          <w:ilvl w:val="0"/>
          <w:numId w:val="18"/>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逾期接房或逾期开业，超过</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天的；未按期足额支付租金、物业服务费用、</w:t>
      </w:r>
      <w:r>
        <w:rPr>
          <w:rFonts w:hint="eastAsia" w:ascii="微软雅黑" w:hAnsi="微软雅黑" w:eastAsia="微软雅黑" w:cs="微软雅黑"/>
          <w:bCs/>
          <w:color w:val="000000" w:themeColor="text1"/>
          <w:sz w:val="24"/>
          <w:szCs w:val="24"/>
          <w14:textFill>
            <w14:solidFill>
              <w14:schemeClr w14:val="tx1"/>
            </w14:solidFill>
          </w14:textFill>
        </w:rPr>
        <w:t>商业管理费等费用</w:t>
      </w:r>
      <w:r>
        <w:rPr>
          <w:rFonts w:hint="eastAsia" w:ascii="微软雅黑" w:hAnsi="微软雅黑" w:eastAsia="微软雅黑" w:cs="微软雅黑"/>
          <w:color w:val="000000" w:themeColor="text1"/>
          <w:sz w:val="24"/>
          <w:szCs w:val="24"/>
          <w14:textFill>
            <w14:solidFill>
              <w14:schemeClr w14:val="tx1"/>
            </w14:solidFill>
          </w14:textFill>
        </w:rPr>
        <w:t>，逾期超过</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天的；连续</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天关门停业或一年中累计关门停业</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天的。但消防部门审批时间不计入；</w:t>
      </w:r>
    </w:p>
    <w:p w14:paraId="7AEF73C2">
      <w:pPr>
        <w:keepNext w:val="0"/>
        <w:keepLines w:val="0"/>
        <w:pageBreakBefore w:val="0"/>
        <w:numPr>
          <w:ilvl w:val="0"/>
          <w:numId w:val="18"/>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乙方未经甲方书面同意并按规定报经有关部门核准擅自改变本合同第二条第一款所约定的经营用途、经营种类及范围的；</w:t>
      </w:r>
    </w:p>
    <w:p w14:paraId="0DA18663">
      <w:pPr>
        <w:keepNext w:val="0"/>
        <w:keepLines w:val="0"/>
        <w:pageBreakBefore w:val="0"/>
        <w:numPr>
          <w:ilvl w:val="0"/>
          <w:numId w:val="18"/>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乙方利用租赁房屋进行违法、违规经营的，储存违禁物品或易燃易爆物品；</w:t>
      </w:r>
    </w:p>
    <w:p w14:paraId="681A26E2">
      <w:pPr>
        <w:keepNext w:val="0"/>
        <w:keepLines w:val="0"/>
        <w:pageBreakBefore w:val="0"/>
        <w:numPr>
          <w:ilvl w:val="0"/>
          <w:numId w:val="18"/>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租赁房屋交付后，乙方怠于履行维护、维修、消防、安全义务或因乙方违反约定装修造成租赁房屋出现质量问题或违反甲方或物业公司其他管理规则，而乙方未按甲方书面通知进行整改的；</w:t>
      </w:r>
    </w:p>
    <w:p w14:paraId="1AE55411">
      <w:pPr>
        <w:keepNext w:val="0"/>
        <w:keepLines w:val="0"/>
        <w:pageBreakBefore w:val="0"/>
        <w:numPr>
          <w:ilvl w:val="0"/>
          <w:numId w:val="18"/>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租赁房屋因乙方原因被政府部门查封、整顿、关停的；</w:t>
      </w:r>
    </w:p>
    <w:p w14:paraId="24E22C2B">
      <w:pPr>
        <w:keepNext w:val="0"/>
        <w:keepLines w:val="0"/>
        <w:pageBreakBefore w:val="0"/>
        <w:numPr>
          <w:ilvl w:val="0"/>
          <w:numId w:val="18"/>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未经甲方书面同意，乙方擅自将租赁房屋转租、分租、转让、转借、与他人交换使用、允许他人以乙方名义使用本合同租赁房屋或者将租赁房屋及基于该租赁房屋的经营项目向第三人承包、分包、联营、入股、抵押、或以其他任何方式让与第三人经营的；</w:t>
      </w:r>
    </w:p>
    <w:p w14:paraId="12C33C09">
      <w:pPr>
        <w:keepNext w:val="0"/>
        <w:keepLines w:val="0"/>
        <w:pageBreakBefore w:val="0"/>
        <w:numPr>
          <w:ilvl w:val="0"/>
          <w:numId w:val="18"/>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乙方营业执照、相关许可证被吊销、注销、到期未年检或乙方发生破产、清算的；</w:t>
      </w:r>
    </w:p>
    <w:p w14:paraId="6ABA5CF5">
      <w:pPr>
        <w:keepNext w:val="0"/>
        <w:keepLines w:val="0"/>
        <w:pageBreakBefore w:val="0"/>
        <w:numPr>
          <w:ilvl w:val="0"/>
          <w:numId w:val="18"/>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乙方严重或多次违反《消费者权益保护法》等法律法规又整改不力，造成消费者多次投诉的；</w:t>
      </w:r>
    </w:p>
    <w:p w14:paraId="47558EA2">
      <w:pPr>
        <w:keepNext w:val="0"/>
        <w:keepLines w:val="0"/>
        <w:pageBreakBefore w:val="0"/>
        <w:numPr>
          <w:ilvl w:val="0"/>
          <w:numId w:val="18"/>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原因导致甲方或所在商场的声誉受到不良影响或造成较大财产损失的，或者因乙方原因造成人员重伤或死亡、卫生事件或群体性事件，或者乙方经营范围内治安刑事案件频发而无好转的，或者因乙方原因造成漏水、噪音等环境污染影响周围租赁房屋正常经营的。</w:t>
      </w:r>
    </w:p>
    <w:p w14:paraId="418EBAC6">
      <w:pPr>
        <w:keepNext w:val="0"/>
        <w:keepLines w:val="0"/>
        <w:pageBreakBefore w:val="0"/>
        <w:numPr>
          <w:ilvl w:val="0"/>
          <w:numId w:val="18"/>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本合同约定的其他可以解除的情形。</w:t>
      </w:r>
    </w:p>
    <w:p w14:paraId="6E88719C">
      <w:pPr>
        <w:keepNext w:val="0"/>
        <w:keepLines w:val="0"/>
        <w:pageBreakBefore w:val="0"/>
        <w:numPr>
          <w:ilvl w:val="0"/>
          <w:numId w:val="16"/>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甲方根据本合同约定或法律规定选择解除本合同的，自甲方解除合同的书面通知到达乙方时合同解除，</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乙方对合同解除有异议的，可以向</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蚌埠仲裁委员会</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确认解除的效力。</w:t>
      </w:r>
    </w:p>
    <w:p w14:paraId="3E18CBA4">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租赁房屋的返还</w:t>
      </w:r>
    </w:p>
    <w:p w14:paraId="79F206FF">
      <w:pPr>
        <w:keepNext w:val="0"/>
        <w:keepLines w:val="0"/>
        <w:pageBreakBefore w:val="0"/>
        <w:numPr>
          <w:ilvl w:val="0"/>
          <w:numId w:val="19"/>
        </w:numPr>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乙方应当在本合同终止或本合同解除通知送达7日内向甲方返还租赁房屋。</w:t>
      </w:r>
    </w:p>
    <w:p w14:paraId="46EB5389">
      <w:pPr>
        <w:keepNext w:val="0"/>
        <w:keepLines w:val="0"/>
        <w:pageBreakBefore w:val="0"/>
        <w:numPr>
          <w:ilvl w:val="0"/>
          <w:numId w:val="19"/>
        </w:numPr>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依据“来装去留”的原则，乙方在返还租赁房屋时，应当一并无偿返还租赁房屋内所有形成附合的装修装饰物，并归甲方所有，甲方无需对乙方装修进行任何补偿；同时乙方因拆除未形成附合的装饰装修物造成房屋毁损的，乙方必须恢复原状或照价赔偿，或者根据甲方通知将装修拆除，恢复租赁房屋原状；若甲方通知后乙方拒绝进行拆卸的，甲方有权自行或委托第三人进行拆卸，由此产生的相关费用将从履约保证金中直接扣除，履约保证金不足以支付的，甲方有权向乙方继续追索。</w:t>
      </w:r>
    </w:p>
    <w:p w14:paraId="1F113F06">
      <w:pPr>
        <w:keepNext w:val="0"/>
        <w:keepLines w:val="0"/>
        <w:pageBreakBefore w:val="0"/>
        <w:numPr>
          <w:ilvl w:val="0"/>
          <w:numId w:val="19"/>
        </w:numPr>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租赁房屋返还期限届满，乙方拒不返还的，如乙方仍旧开门营业的，甲方或物业公司可以阻止其继续经营；如乙方已经关门停止营业但仍未向甲方交房的，视为乙方同意甲方或物业公司可以直接换锁进入，租赁房屋内遗留的所有物品视为乙方自动放弃所有权，甲方有权自行处理，因此产生的费用及损毁、灭失的风险由乙方承担，履约保证金不再返还。</w:t>
      </w:r>
    </w:p>
    <w:p w14:paraId="1596ABE5">
      <w:pPr>
        <w:keepNext w:val="0"/>
        <w:keepLines w:val="0"/>
        <w:pageBreakBefore w:val="0"/>
        <w:numPr>
          <w:ilvl w:val="0"/>
          <w:numId w:val="19"/>
        </w:numPr>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乙方在返还租赁房屋时保证租赁房屋内的设施、设备、装置等保持良好、清洁和能正常使用，否则，甲方可指定专业人员进行清洁、修理，由此产生的费用由乙方承担。</w:t>
      </w:r>
    </w:p>
    <w:p w14:paraId="5D00DF9F">
      <w:pPr>
        <w:keepNext w:val="0"/>
        <w:keepLines w:val="0"/>
        <w:pageBreakBefore w:val="0"/>
        <w:numPr>
          <w:ilvl w:val="0"/>
          <w:numId w:val="19"/>
        </w:numPr>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经甲方验收合格后，甲乙双方签署租赁房屋返还移交确认证明文件。</w:t>
      </w:r>
    </w:p>
    <w:p w14:paraId="59CDFA1A">
      <w:pPr>
        <w:keepNext w:val="0"/>
        <w:keepLines w:val="0"/>
        <w:pageBreakBefore w:val="0"/>
        <w:numPr>
          <w:ilvl w:val="0"/>
          <w:numId w:val="19"/>
        </w:numPr>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乙方逾期返还租赁房屋的，应按最后一期租金 2倍的标准按日向甲方支付逾期返还期间的房屋占有使用费，并承担此期间物业服务费、商业管理费、水电费及其他费用等。</w:t>
      </w:r>
    </w:p>
    <w:p w14:paraId="73F74F5D">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免责条款</w:t>
      </w:r>
    </w:p>
    <w:p w14:paraId="63D38F02">
      <w:pPr>
        <w:keepNext w:val="0"/>
        <w:keepLines w:val="0"/>
        <w:pageBreakBefore w:val="0"/>
        <w:numPr>
          <w:ilvl w:val="0"/>
          <w:numId w:val="0"/>
        </w:numPr>
        <w:tabs>
          <w:tab w:val="left" w:pos="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2AD102CF">
      <w:pPr>
        <w:keepNext w:val="0"/>
        <w:keepLines w:val="0"/>
        <w:pageBreakBefore w:val="0"/>
        <w:numPr>
          <w:ilvl w:val="0"/>
          <w:numId w:val="0"/>
        </w:numPr>
        <w:tabs>
          <w:tab w:val="left" w:pos="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2．当出现双方在订立合同时无法预见的、不属于商业风险的重大变化，双方不能协商变更合同导致合同解除的，双方互不承担违约责任。</w:t>
      </w:r>
    </w:p>
    <w:p w14:paraId="37C5B313">
      <w:pPr>
        <w:keepNext w:val="0"/>
        <w:keepLines w:val="0"/>
        <w:pageBreakBefore w:val="0"/>
        <w:numPr>
          <w:ilvl w:val="0"/>
          <w:numId w:val="0"/>
        </w:numPr>
        <w:tabs>
          <w:tab w:val="left" w:pos="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3．因治安管理案件或刑事犯罪案件，包括但不限于故意伤害、爆炸、偷盗、抢劫等导致人身伤害或财产损失的，由行为人承担责任。</w:t>
      </w:r>
    </w:p>
    <w:p w14:paraId="66D5683B">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承诺和保证</w:t>
      </w:r>
    </w:p>
    <w:p w14:paraId="6C2E6E43">
      <w:pPr>
        <w:keepNext w:val="0"/>
        <w:keepLines w:val="0"/>
        <w:pageBreakBefore w:val="0"/>
        <w:numPr>
          <w:ilvl w:val="0"/>
          <w:numId w:val="20"/>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甲方向乙方声明、承诺并保证如下：</w:t>
      </w:r>
    </w:p>
    <w:p w14:paraId="1453BB14">
      <w:pPr>
        <w:keepNext w:val="0"/>
        <w:keepLines w:val="0"/>
        <w:pageBreakBefore w:val="0"/>
        <w:numPr>
          <w:ilvl w:val="0"/>
          <w:numId w:val="2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在乙方按期支付租金及遵守和履行所有本合同项下的承诺、约定的前提下，乙方有权在租赁期内合法使用租赁房屋，而不受甲方的不法的侵扰。</w:t>
      </w:r>
    </w:p>
    <w:p w14:paraId="287920CF">
      <w:pPr>
        <w:keepNext w:val="0"/>
        <w:keepLines w:val="0"/>
        <w:pageBreakBefore w:val="0"/>
        <w:numPr>
          <w:ilvl w:val="0"/>
          <w:numId w:val="2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甲方对租赁房屋享有完全的出租及收取租金的权利。</w:t>
      </w:r>
    </w:p>
    <w:p w14:paraId="41D948D8">
      <w:pPr>
        <w:keepNext w:val="0"/>
        <w:keepLines w:val="0"/>
        <w:pageBreakBefore w:val="0"/>
        <w:numPr>
          <w:ilvl w:val="0"/>
          <w:numId w:val="2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甲方将尽最大努力及采取一切合理的措施保障乙方合法经营活动的顺利进行。</w:t>
      </w:r>
    </w:p>
    <w:p w14:paraId="733AF8BA">
      <w:pPr>
        <w:keepNext w:val="0"/>
        <w:keepLines w:val="0"/>
        <w:pageBreakBefore w:val="0"/>
        <w:numPr>
          <w:ilvl w:val="0"/>
          <w:numId w:val="20"/>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乙方向甲方声明、承诺并保证如下：</w:t>
      </w:r>
    </w:p>
    <w:p w14:paraId="13327622">
      <w:pPr>
        <w:keepNext w:val="0"/>
        <w:keepLines w:val="0"/>
        <w:pageBreakBefore w:val="0"/>
        <w:numPr>
          <w:ilvl w:val="0"/>
          <w:numId w:val="22"/>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因乙方违反或触犯中国有关法律、法规导致甲方产生的任何损失，乙方应承担所有赔偿及法律责任。</w:t>
      </w:r>
    </w:p>
    <w:p w14:paraId="38D274E3">
      <w:pPr>
        <w:keepNext w:val="0"/>
        <w:keepLines w:val="0"/>
        <w:pageBreakBefore w:val="0"/>
        <w:numPr>
          <w:ilvl w:val="0"/>
          <w:numId w:val="22"/>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尽最大努力及采取合法、合理、公平的方式进行经营活动。</w:t>
      </w:r>
    </w:p>
    <w:p w14:paraId="2CA16E6D">
      <w:pPr>
        <w:keepNext w:val="0"/>
        <w:keepLines w:val="0"/>
        <w:pageBreakBefore w:val="0"/>
        <w:numPr>
          <w:ilvl w:val="0"/>
          <w:numId w:val="22"/>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若收到政府有关部门发出的与租赁房屋有关的任何通知送达的，在48小时内以书面方式通知甲方。</w:t>
      </w:r>
    </w:p>
    <w:p w14:paraId="6F048F7E">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保密条款</w:t>
      </w:r>
    </w:p>
    <w:p w14:paraId="02AAD29B">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甲乙双方应当对双方合同合作条件及相关商业秘密进行保密，未经对方批准不得泄露或者不正当地使用，否则，守约方有权要求违约方赔偿由此带来的损失。</w:t>
      </w:r>
    </w:p>
    <w:p w14:paraId="7E17BCCD">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违约责任</w:t>
      </w:r>
    </w:p>
    <w:p w14:paraId="03379F49">
      <w:pPr>
        <w:keepNext w:val="0"/>
        <w:keepLines w:val="0"/>
        <w:pageBreakBefore w:val="0"/>
        <w:numPr>
          <w:ilvl w:val="0"/>
          <w:numId w:val="23"/>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如甲方未能按照本合同第四条约定交房，租期予以顺延。</w:t>
      </w:r>
    </w:p>
    <w:p w14:paraId="598D3976">
      <w:pPr>
        <w:keepNext w:val="0"/>
        <w:keepLines w:val="0"/>
        <w:pageBreakBefore w:val="0"/>
        <w:numPr>
          <w:ilvl w:val="0"/>
          <w:numId w:val="23"/>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除本合同另有约定或法律有规定外，甲方无正当理由单方提前解除合同，应退还乙方已交的履约保证金和剩余租期的租金，并承担当年已付本合同租金总额20%的违约金。</w:t>
      </w:r>
    </w:p>
    <w:p w14:paraId="6AABD8E3">
      <w:pPr>
        <w:keepNext w:val="0"/>
        <w:keepLines w:val="0"/>
        <w:pageBreakBefore w:val="0"/>
        <w:numPr>
          <w:ilvl w:val="0"/>
          <w:numId w:val="23"/>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乙方单方提前解除本合同，其所付租金、履约保证金等归甲方所有。同时，乙方还应向甲方承担本合同租金总额20%的违约金。</w:t>
      </w:r>
    </w:p>
    <w:p w14:paraId="6EDDDF49">
      <w:pPr>
        <w:keepNext w:val="0"/>
        <w:keepLines w:val="0"/>
        <w:pageBreakBefore w:val="0"/>
        <w:numPr>
          <w:ilvl w:val="0"/>
          <w:numId w:val="23"/>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乙方未能按期装修完成或未按甲方通知的开业时间开业的，每逾期一天，应按第一年度应交租金总额的万分之五向甲方支付违约金。</w:t>
      </w:r>
    </w:p>
    <w:p w14:paraId="4BD85462">
      <w:pPr>
        <w:keepNext w:val="0"/>
        <w:keepLines w:val="0"/>
        <w:pageBreakBefore w:val="0"/>
        <w:numPr>
          <w:ilvl w:val="0"/>
          <w:numId w:val="23"/>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乙方未按时足额缴纳租金、物业服务费用、商业管理费及其他任何费用的，每逾期一天，应按拖欠金额的万分之五向甲方支付违约金。</w:t>
      </w:r>
    </w:p>
    <w:p w14:paraId="675B9946">
      <w:pPr>
        <w:keepNext w:val="0"/>
        <w:keepLines w:val="0"/>
        <w:pageBreakBefore w:val="0"/>
        <w:numPr>
          <w:ilvl w:val="0"/>
          <w:numId w:val="23"/>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当违约方向守约方支付的违约金不足以弥补守约方的损失时，违约方还应当赔偿守约方超过违约金部分的损失。守约方的损失包括但不限于：守约方因此遭受的实际损失、可得利益损失、起诉产生的诉讼费、保全费、律师费、差旅费等费用。</w:t>
      </w:r>
    </w:p>
    <w:p w14:paraId="151A1593">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特别约定</w:t>
      </w:r>
    </w:p>
    <w:p w14:paraId="6C49E4BC">
      <w:pPr>
        <w:keepNext w:val="0"/>
        <w:keepLines w:val="0"/>
        <w:pageBreakBefore w:val="0"/>
        <w:numPr>
          <w:ilvl w:val="0"/>
          <w:numId w:val="24"/>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善意提醒：乙方应当在开业前自费为租赁房屋装修和经营期间可能遇到的风险购买保险，该等险种至少应包括财产一切险及第三者责任险，并列甲方为第一受益人，所有费用由乙方负责。无论乙方是否购买保险，因乙方原因导致的损失赔偿责任均应由乙方承担，但乙方如购买保险，在保险范围内的损失可向保险公司追偿。</w:t>
      </w:r>
    </w:p>
    <w:p w14:paraId="1CE1D05A">
      <w:pPr>
        <w:keepNext w:val="0"/>
        <w:keepLines w:val="0"/>
        <w:pageBreakBefore w:val="0"/>
        <w:numPr>
          <w:ilvl w:val="0"/>
          <w:numId w:val="24"/>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有权利用出租给乙方经营使用的房屋进行投融资业务，在甲方通知乙方后，乙方必须在甲方规定的时间内配合完成告知书的签字和盖章手续。同时甲方承诺保障乙方合法经营活动的顺利进行。如乙方不配合，甲方有权单方选择解除合同。</w:t>
      </w:r>
    </w:p>
    <w:p w14:paraId="0FF7F324">
      <w:pPr>
        <w:keepNext w:val="0"/>
        <w:keepLines w:val="0"/>
        <w:pageBreakBefore w:val="0"/>
        <w:numPr>
          <w:ilvl w:val="0"/>
          <w:numId w:val="24"/>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租赁房屋后，需要另行注册公司使用租赁房屋进行经营的，必须向甲方提出书面申请，经甲方同意后签订补充协议确认，并且乙方必须符合下列条件，否则甲方有权选择单方解除本合同、提前收回该租赁房屋：</w:t>
      </w:r>
    </w:p>
    <w:p w14:paraId="0FCF0891">
      <w:pPr>
        <w:keepNext w:val="0"/>
        <w:keepLines w:val="0"/>
        <w:pageBreakBefore w:val="0"/>
        <w:numPr>
          <w:ilvl w:val="0"/>
          <w:numId w:val="25"/>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乙方对所注册的公司必须有绝对控股权(乙方占有所注册公司三分之二以上股权)，且乙方注册公司需取得履行开展本合同租赁房屋经营业务所需的各项许可证件。</w:t>
      </w:r>
    </w:p>
    <w:p w14:paraId="1E222FF2">
      <w:pPr>
        <w:keepNext w:val="0"/>
        <w:keepLines w:val="0"/>
        <w:pageBreakBefore w:val="0"/>
        <w:numPr>
          <w:ilvl w:val="0"/>
          <w:numId w:val="25"/>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乙方所注册的公司不得超出本合同第二条所规定的用途使用租赁房屋，且承诺严格按照本合同条款履行义务，不得对合同条款提出异议或附加条件。</w:t>
      </w:r>
    </w:p>
    <w:p w14:paraId="68D6A664">
      <w:pPr>
        <w:keepNext w:val="0"/>
        <w:keepLines w:val="0"/>
        <w:pageBreakBefore w:val="0"/>
        <w:numPr>
          <w:ilvl w:val="0"/>
          <w:numId w:val="25"/>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变更合同主体后，乙方对乙方所注册的公司在合同履行过程中的行为承担连带责任，即乙方注册的公司违反本合同或甲方与之签订的协议，甲方有权</w:t>
      </w:r>
      <w:r>
        <w:rPr>
          <w:rFonts w:hint="eastAsia" w:ascii="微软雅黑" w:hAnsi="微软雅黑" w:eastAsia="微软雅黑" w:cs="微软雅黑"/>
          <w:color w:val="000000" w:themeColor="text1"/>
          <w:sz w:val="24"/>
          <w:szCs w:val="24"/>
          <w:lang w:eastAsia="zh-CN"/>
          <w14:textFill>
            <w14:solidFill>
              <w14:schemeClr w14:val="tx1"/>
            </w14:solidFill>
          </w14:textFill>
        </w:rPr>
        <w:t>要求乙方及乙方注册的公司共同承担相应合同责任</w:t>
      </w:r>
      <w:r>
        <w:rPr>
          <w:rFonts w:hint="eastAsia" w:ascii="微软雅黑" w:hAnsi="微软雅黑" w:eastAsia="微软雅黑" w:cs="微软雅黑"/>
          <w:color w:val="000000" w:themeColor="text1"/>
          <w:sz w:val="24"/>
          <w:szCs w:val="24"/>
          <w14:textFill>
            <w14:solidFill>
              <w14:schemeClr w14:val="tx1"/>
            </w14:solidFill>
          </w14:textFill>
        </w:rPr>
        <w:t>。</w:t>
      </w:r>
    </w:p>
    <w:p w14:paraId="72B226C2">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4.乙方公司注册完毕后，甲方配合乙方将合同主体变更至新公司名下，合同的其它条款不变。</w:t>
      </w:r>
    </w:p>
    <w:p w14:paraId="16937492">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合同生效</w:t>
      </w:r>
    </w:p>
    <w:p w14:paraId="31898E8A">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本合同在同时满足下列条件时生效：</w:t>
      </w:r>
    </w:p>
    <w:p w14:paraId="358EF6C4">
      <w:pPr>
        <w:keepNext w:val="0"/>
        <w:keepLines w:val="0"/>
        <w:pageBreakBefore w:val="0"/>
        <w:numPr>
          <w:ilvl w:val="0"/>
          <w:numId w:val="26"/>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双方法定代表人或委托代理人签字并加盖公章</w:t>
      </w:r>
      <w:r>
        <w:rPr>
          <w:rFonts w:hint="eastAsia" w:ascii="微软雅黑" w:hAnsi="微软雅黑" w:eastAsia="微软雅黑" w:cs="微软雅黑"/>
          <w:bCs/>
          <w:color w:val="000000" w:themeColor="text1"/>
          <w:sz w:val="24"/>
          <w:szCs w:val="24"/>
          <w14:textFill>
            <w14:solidFill>
              <w14:schemeClr w14:val="tx1"/>
            </w14:solidFill>
          </w14:textFill>
        </w:rPr>
        <w:t>。</w:t>
      </w:r>
    </w:p>
    <w:p w14:paraId="1AD7D8F9">
      <w:pPr>
        <w:keepNext w:val="0"/>
        <w:keepLines w:val="0"/>
        <w:pageBreakBefore w:val="0"/>
        <w:numPr>
          <w:ilvl w:val="0"/>
          <w:numId w:val="26"/>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乙方已经全额缴纳了履约保证金。</w:t>
      </w:r>
    </w:p>
    <w:p w14:paraId="77372655">
      <w:pPr>
        <w:keepNext w:val="0"/>
        <w:keepLines w:val="0"/>
        <w:pageBreakBefore w:val="0"/>
        <w:numPr>
          <w:ilvl w:val="0"/>
          <w:numId w:val="26"/>
        </w:numPr>
        <w:tabs>
          <w:tab w:val="left" w:pos="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乙方已经与甲方或甲方指定的第三方签订了相关服务协议。</w:t>
      </w:r>
    </w:p>
    <w:p w14:paraId="6C1AEC0B">
      <w:pPr>
        <w:keepNext w:val="0"/>
        <w:keepLines w:val="0"/>
        <w:pageBreakBefore w:val="0"/>
        <w:numPr>
          <w:ilvl w:val="0"/>
          <w:numId w:val="1"/>
        </w:numPr>
        <w:tabs>
          <w:tab w:val="left" w:pos="2800"/>
        </w:tabs>
        <w:kinsoku/>
        <w:wordWrap/>
        <w:overflowPunct/>
        <w:topLinePunct w:val="0"/>
        <w:autoSpaceDE/>
        <w:autoSpaceDN/>
        <w:bidi w:val="0"/>
        <w:adjustRightInd/>
        <w:snapToGrid/>
        <w:spacing w:line="360" w:lineRule="auto"/>
        <w:ind w:left="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其他约定</w:t>
      </w:r>
    </w:p>
    <w:p w14:paraId="05943800">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 xml:space="preserve"> </w:t>
      </w:r>
      <w:r>
        <w:rPr>
          <w:rFonts w:hint="eastAsia" w:ascii="微软雅黑" w:hAnsi="微软雅黑" w:eastAsia="微软雅黑" w:cs="微软雅黑"/>
          <w:bCs/>
          <w:color w:val="000000" w:themeColor="text1"/>
          <w:sz w:val="24"/>
          <w:szCs w:val="24"/>
          <w14:textFill>
            <w14:solidFill>
              <w14:schemeClr w14:val="tx1"/>
            </w14:solidFill>
          </w14:textFill>
        </w:rPr>
        <w:t>凡因本合同引起的或与本合同有关的任何争议，均提交</w:t>
      </w:r>
      <w:r>
        <w:rPr>
          <w:rFonts w:hint="eastAsia" w:ascii="微软雅黑" w:hAnsi="微软雅黑" w:eastAsia="微软雅黑" w:cs="微软雅黑"/>
          <w:bCs/>
          <w:color w:val="000000" w:themeColor="text1"/>
          <w:sz w:val="24"/>
          <w:szCs w:val="24"/>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14:textFill>
            <w14:solidFill>
              <w14:schemeClr w14:val="tx1"/>
            </w14:solidFill>
          </w14:textFill>
        </w:rPr>
        <w:t>仲裁委员会，按照该会的仲裁规则进行仲裁。仲裁裁决是终局的，对双方均有约束力。</w:t>
      </w:r>
    </w:p>
    <w:p w14:paraId="30B2437F">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 xml:space="preserve">2. </w:t>
      </w:r>
      <w:r>
        <w:rPr>
          <w:rFonts w:hint="eastAsia" w:ascii="微软雅黑" w:hAnsi="微软雅黑" w:eastAsia="微软雅黑" w:cs="微软雅黑"/>
          <w:color w:val="000000" w:themeColor="text1"/>
          <w:sz w:val="24"/>
          <w:szCs w:val="24"/>
          <w14:textFill>
            <w14:solidFill>
              <w14:schemeClr w14:val="tx1"/>
            </w14:solidFill>
          </w14:textFill>
        </w:rPr>
        <w:t>本合同签订后</w:t>
      </w:r>
      <w:r>
        <w:rPr>
          <w:rFonts w:hint="eastAsia" w:ascii="微软雅黑" w:hAnsi="微软雅黑" w:eastAsia="微软雅黑" w:cs="微软雅黑"/>
          <w:bCs/>
          <w:color w:val="000000" w:themeColor="text1"/>
          <w:sz w:val="24"/>
          <w:szCs w:val="24"/>
          <w14:textFill>
            <w14:solidFill>
              <w14:schemeClr w14:val="tx1"/>
            </w14:solidFill>
          </w14:textFill>
        </w:rPr>
        <w:t>，如有未尽事宜，经合同双方协商一致后，签订补充协议，补充协议与本合同具有同等效力。</w:t>
      </w:r>
    </w:p>
    <w:p w14:paraId="36B7B260">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3. 在合同期限内，甲方需要变更合同主体的，乙方应以配合，合同的其它条款不变。合同一式</w:t>
      </w:r>
      <w:r>
        <w:rPr>
          <w:rFonts w:hint="eastAsia" w:ascii="微软雅黑" w:hAnsi="微软雅黑" w:eastAsia="微软雅黑" w:cs="微软雅黑"/>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Cs/>
          <w:color w:val="000000" w:themeColor="text1"/>
          <w:sz w:val="24"/>
          <w:szCs w:val="24"/>
          <w14:textFill>
            <w14:solidFill>
              <w14:schemeClr w14:val="tx1"/>
            </w14:solidFill>
          </w14:textFill>
        </w:rPr>
        <w:t>份，甲方执</w:t>
      </w:r>
      <w:r>
        <w:rPr>
          <w:rFonts w:hint="eastAsia" w:ascii="微软雅黑" w:hAnsi="微软雅黑" w:eastAsia="微软雅黑" w:cs="微软雅黑"/>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Cs/>
          <w:color w:val="000000" w:themeColor="text1"/>
          <w:sz w:val="24"/>
          <w:szCs w:val="24"/>
          <w14:textFill>
            <w14:solidFill>
              <w14:schemeClr w14:val="tx1"/>
            </w14:solidFill>
          </w14:textFill>
        </w:rPr>
        <w:t>份，乙方执</w:t>
      </w:r>
      <w:r>
        <w:rPr>
          <w:rFonts w:hint="eastAsia" w:ascii="微软雅黑" w:hAnsi="微软雅黑" w:eastAsia="微软雅黑" w:cs="微软雅黑"/>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Cs/>
          <w:color w:val="000000" w:themeColor="text1"/>
          <w:sz w:val="24"/>
          <w:szCs w:val="24"/>
          <w14:textFill>
            <w14:solidFill>
              <w14:schemeClr w14:val="tx1"/>
            </w14:solidFill>
          </w14:textFill>
        </w:rPr>
        <w:t>份。</w:t>
      </w:r>
    </w:p>
    <w:p w14:paraId="37ADED85">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 xml:space="preserve">4. </w:t>
      </w: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送达地址以及送达条款</w:t>
      </w:r>
    </w:p>
    <w:p w14:paraId="5F4B9135">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（1）送达地址以及方式</w:t>
      </w:r>
    </w:p>
    <w:p w14:paraId="0D5EE006">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送达地址</w:t>
      </w:r>
    </w:p>
    <w:p w14:paraId="0370859C">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甲方确认送达地址如下：</w:t>
      </w:r>
    </w:p>
    <w:p w14:paraId="3A3D363F">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地址：    省    市    区/县    路    号，</w:t>
      </w:r>
    </w:p>
    <w:p w14:paraId="23E78E38">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邮编：            ，</w:t>
      </w:r>
    </w:p>
    <w:p w14:paraId="195BD228">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联系人：      ，</w:t>
      </w:r>
    </w:p>
    <w:p w14:paraId="30F32344">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联系电话：      -            。</w:t>
      </w:r>
    </w:p>
    <w:p w14:paraId="215B6332">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甲方电子送达方式如下：</w:t>
      </w:r>
    </w:p>
    <w:p w14:paraId="0A5DB026">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 xml:space="preserve">手机短信：                  </w:t>
      </w:r>
    </w:p>
    <w:p w14:paraId="2E791776">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 xml:space="preserve">传真：      -            </w:t>
      </w:r>
    </w:p>
    <w:p w14:paraId="739C0DE1">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 xml:space="preserve">即时通讯账号（微信号）：                  </w:t>
      </w:r>
    </w:p>
    <w:p w14:paraId="2FBAFC19">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电子邮箱：            。</w:t>
      </w:r>
    </w:p>
    <w:p w14:paraId="61B3C1A7">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p>
    <w:p w14:paraId="13D7AEEB">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乙方确认送达地址如下：</w:t>
      </w:r>
    </w:p>
    <w:p w14:paraId="53EB3BC7">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地址：    省    市    区/县    路    号，</w:t>
      </w:r>
    </w:p>
    <w:p w14:paraId="7318E161">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邮编：            ，</w:t>
      </w:r>
    </w:p>
    <w:p w14:paraId="7AAF65AF">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联系人：      ，</w:t>
      </w:r>
    </w:p>
    <w:p w14:paraId="49E1B76B">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联系电话：      -            。</w:t>
      </w:r>
    </w:p>
    <w:p w14:paraId="75A8CAB4">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乙方电子送达方式如下：</w:t>
      </w:r>
    </w:p>
    <w:p w14:paraId="0912C1C3">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 xml:space="preserve">手机短信：                  </w:t>
      </w:r>
    </w:p>
    <w:p w14:paraId="60B76412">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 xml:space="preserve">传真：      -            </w:t>
      </w:r>
    </w:p>
    <w:p w14:paraId="3F5BA6D6">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 xml:space="preserve">即时通讯账号（微信号）：                  </w:t>
      </w:r>
    </w:p>
    <w:p w14:paraId="7408DD66">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电子邮箱：</w:t>
      </w:r>
    </w:p>
    <w:p w14:paraId="7FC34E07">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送达方式</w:t>
      </w:r>
    </w:p>
    <w:p w14:paraId="35013EC1">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双方同意，本合同项下的通知、函件、诉讼文书等文件，以下列方式送达对方：</w:t>
      </w:r>
    </w:p>
    <w:p w14:paraId="216E78FE">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直接送达：将文件送至对方指定的送达地址，视为已送达；</w:t>
      </w:r>
    </w:p>
    <w:p w14:paraId="20C846AF">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邮寄送达：将文件通过挂号信、特快专递等方式寄至对方指定的送达地址，以邮戳日期为准，视为已送达；</w:t>
      </w:r>
    </w:p>
    <w:p w14:paraId="596449D6">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电子送达：将文件通过电子邮件、短信、微信等方式发送至对方指定的电子邮箱、手机号码等，发送成功即视为已送达。</w:t>
      </w:r>
    </w:p>
    <w:p w14:paraId="71CEF261">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（2）送达条款</w:t>
      </w:r>
    </w:p>
    <w:p w14:paraId="4B43B6E8">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本送达条款适用于合同履行期间及合同纠纷解决过程中的所有文件送达。</w:t>
      </w:r>
    </w:p>
    <w:p w14:paraId="56183C85">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3A1EC93">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双方在合同履行过程中由双方共同明示或默示确认的合同约定外的送达地址和联系方式不影响送达效力。</w:t>
      </w:r>
    </w:p>
    <w:p w14:paraId="52B4C7C2">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76595166">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6372F8BD">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3EB528B0">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擅自变更送达地址及信息且未及时通知对方的；</w:t>
      </w:r>
    </w:p>
    <w:p w14:paraId="32946D95">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送达地址与信息同工商登记信息不一致且未及时更改的；</w:t>
      </w:r>
    </w:p>
    <w:p w14:paraId="3E3293E7">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故意不接收蚌埠仲裁委员会送达文书的；</w:t>
      </w:r>
    </w:p>
    <w:p w14:paraId="7CA17DC7">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bCs/>
          <w:color w:val="000000" w:themeColor="text1"/>
          <w:sz w:val="24"/>
          <w:szCs w:val="24"/>
          <w:lang w:val="en-US" w:eastAsia="zh-CN"/>
          <w14:textFill>
            <w14:solidFill>
              <w14:schemeClr w14:val="tx1"/>
            </w14:solidFill>
          </w14:textFill>
        </w:rPr>
        <w:t>因接收方过错造成无法正常送达的其他行为。</w:t>
      </w:r>
    </w:p>
    <w:p w14:paraId="2D52EFF0">
      <w:pPr>
        <w:keepNext w:val="0"/>
        <w:keepLines w:val="0"/>
        <w:pageBreakBefore w:val="0"/>
        <w:tabs>
          <w:tab w:val="left" w:pos="0"/>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（以下无正文）</w:t>
      </w:r>
    </w:p>
    <w:p w14:paraId="705ECC0E">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
          <w:bCs/>
          <w:color w:val="000000" w:themeColor="text1"/>
          <w:sz w:val="24"/>
          <w:szCs w:val="24"/>
          <w14:textFill>
            <w14:solidFill>
              <w14:schemeClr w14:val="tx1"/>
            </w14:solidFill>
          </w14:textFill>
        </w:rPr>
      </w:pPr>
    </w:p>
    <w:p w14:paraId="05DB57BE">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附件：</w:t>
      </w:r>
    </w:p>
    <w:p w14:paraId="237ECCD3">
      <w:pPr>
        <w:keepNext w:val="0"/>
        <w:keepLines w:val="0"/>
        <w:pageBreakBefore w:val="0"/>
        <w:numPr>
          <w:ilvl w:val="0"/>
          <w:numId w:val="27"/>
        </w:numPr>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房屋平面图</w:t>
      </w:r>
    </w:p>
    <w:p w14:paraId="1001C026">
      <w:pPr>
        <w:keepNext w:val="0"/>
        <w:keepLines w:val="0"/>
        <w:pageBreakBefore w:val="0"/>
        <w:numPr>
          <w:ilvl w:val="0"/>
          <w:numId w:val="27"/>
        </w:numPr>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广告位位置图</w:t>
      </w:r>
    </w:p>
    <w:p w14:paraId="378B5EDE">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
          <w:bCs/>
          <w:color w:val="000000" w:themeColor="text1"/>
          <w:sz w:val="24"/>
          <w:szCs w:val="24"/>
          <w14:textFill>
            <w14:solidFill>
              <w14:schemeClr w14:val="tx1"/>
            </w14:solidFill>
          </w14:textFill>
        </w:rPr>
      </w:pPr>
    </w:p>
    <w:p w14:paraId="797D88F1">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p>
    <w:p w14:paraId="1A346533">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p>
    <w:p w14:paraId="4087FE1E">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p>
    <w:p w14:paraId="05730E7E">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p>
    <w:p w14:paraId="0F3F792D">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p>
    <w:p w14:paraId="12639CC6">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p>
    <w:p w14:paraId="4BF60AD1">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p>
    <w:p w14:paraId="10D63D66">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lang w:eastAsia="zh-CN"/>
          <w14:textFill>
            <w14:solidFill>
              <w14:schemeClr w14:val="tx1"/>
            </w14:solidFill>
          </w14:textFill>
        </w:rPr>
      </w:pPr>
      <w:r>
        <w:rPr>
          <w:rFonts w:hint="eastAsia" w:ascii="微软雅黑" w:hAnsi="微软雅黑" w:eastAsia="微软雅黑" w:cs="微软雅黑"/>
          <w:bCs/>
          <w:color w:val="000000" w:themeColor="text1"/>
          <w:sz w:val="24"/>
          <w:szCs w:val="24"/>
          <w:lang w:eastAsia="zh-CN"/>
          <w14:textFill>
            <w14:solidFill>
              <w14:schemeClr w14:val="tx1"/>
            </w14:solidFill>
          </w14:textFill>
        </w:rPr>
        <w:t>（签章页）</w:t>
      </w:r>
    </w:p>
    <w:p w14:paraId="3C790F2B">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 xml:space="preserve">甲方（盖章）：  </w:t>
      </w:r>
    </w:p>
    <w:p w14:paraId="2413C7C8">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 xml:space="preserve"> </w:t>
      </w:r>
    </w:p>
    <w:p w14:paraId="16E93D03">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法定代表人（签字）：</w:t>
      </w:r>
    </w:p>
    <w:p w14:paraId="58C86CA9">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委托代理人（签字）：</w:t>
      </w:r>
    </w:p>
    <w:p w14:paraId="279068C0">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 xml:space="preserve">                  </w:t>
      </w:r>
    </w:p>
    <w:p w14:paraId="4282A5EE">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乙方（签章）：</w:t>
      </w:r>
    </w:p>
    <w:p w14:paraId="6B3143B3">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p>
    <w:p w14:paraId="229CA7AA">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法定代表人（签字）：</w:t>
      </w:r>
    </w:p>
    <w:p w14:paraId="409B4BD3">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委托代理人（签字）：</w:t>
      </w:r>
    </w:p>
    <w:p w14:paraId="32020B29">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p>
    <w:p w14:paraId="04BF9E93">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签订日期：   年  月  日</w:t>
      </w:r>
    </w:p>
    <w:p w14:paraId="7FBD43F0">
      <w:pPr>
        <w:keepNext w:val="0"/>
        <w:keepLines w:val="0"/>
        <w:pageBreakBefore w:val="0"/>
        <w:tabs>
          <w:tab w:val="left" w:pos="2800"/>
        </w:tabs>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签订地点：</w:t>
      </w:r>
    </w:p>
    <w:p w14:paraId="3279DFD9">
      <w:pPr>
        <w:keepNext w:val="0"/>
        <w:keepLines w:val="0"/>
        <w:pageBreakBefore w:val="0"/>
        <w:kinsoku/>
        <w:wordWrap/>
        <w:overflowPunct/>
        <w:topLinePunct w:val="0"/>
        <w:autoSpaceDE/>
        <w:bidi w:val="0"/>
        <w:adjustRightInd/>
        <w:snapToGrid/>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12AD67DA">
      <w:pPr>
        <w:rPr>
          <w:rFonts w:hint="eastAsia" w:ascii="微软雅黑" w:hAnsi="微软雅黑" w:eastAsia="微软雅黑" w:cs="微软雅黑"/>
          <w:color w:val="000000" w:themeColor="text1"/>
          <w:sz w:val="24"/>
          <w:szCs w:val="24"/>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6579"/>
    </w:sdtPr>
    <w:sdtContent>
      <w:sdt>
        <w:sdtPr>
          <w:id w:val="171357217"/>
        </w:sdtPr>
        <w:sdtContent>
          <w:p w14:paraId="7C5C9492">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11</w:t>
            </w:r>
            <w:r>
              <w:rPr>
                <w:b/>
                <w:sz w:val="24"/>
                <w:szCs w:val="24"/>
              </w:rPr>
              <w:fldChar w:fldCharType="end"/>
            </w:r>
          </w:p>
        </w:sdtContent>
      </w:sdt>
    </w:sdtContent>
  </w:sdt>
  <w:p w14:paraId="19DC106F">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00960"/>
    <w:multiLevelType w:val="multilevel"/>
    <w:tmpl w:val="BE000960"/>
    <w:lvl w:ilvl="0" w:tentative="0">
      <w:start w:val="1"/>
      <w:numFmt w:val="decimal"/>
      <w:suff w:val="space"/>
      <w:lvlText w:val="(%1)"/>
      <w:lvlJc w:val="left"/>
      <w:pPr>
        <w:ind w:left="98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E947EE4"/>
    <w:multiLevelType w:val="multilevel"/>
    <w:tmpl w:val="FE947EE4"/>
    <w:lvl w:ilvl="0" w:tentative="0">
      <w:start w:val="1"/>
      <w:numFmt w:val="decimal"/>
      <w:suff w:val="space"/>
      <w:lvlText w:val="(%1)"/>
      <w:lvlJc w:val="left"/>
      <w:pPr>
        <w:ind w:left="98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8990B36"/>
    <w:multiLevelType w:val="multilevel"/>
    <w:tmpl w:val="08990B36"/>
    <w:lvl w:ilvl="0" w:tentative="0">
      <w:start w:val="1"/>
      <w:numFmt w:val="decimal"/>
      <w:suff w:val="space"/>
      <w:lvlText w:val="(%1)"/>
      <w:lvlJc w:val="left"/>
      <w:pPr>
        <w:ind w:left="980" w:hanging="420"/>
      </w:pPr>
    </w:lvl>
    <w:lvl w:ilvl="1" w:tentative="0">
      <w:start w:val="1"/>
      <w:numFmt w:val="lowerLetter"/>
      <w:lvlText w:val="%2)"/>
      <w:lvlJc w:val="left"/>
      <w:pPr>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90F36E7"/>
    <w:multiLevelType w:val="multilevel"/>
    <w:tmpl w:val="090F36E7"/>
    <w:lvl w:ilvl="0" w:tentative="0">
      <w:start w:val="1"/>
      <w:numFmt w:val="decimal"/>
      <w:suff w:val="space"/>
      <w:lvlText w:val="%1."/>
      <w:lvlJc w:val="left"/>
      <w:pPr>
        <w:ind w:left="1128"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B1C54AB"/>
    <w:multiLevelType w:val="multilevel"/>
    <w:tmpl w:val="0B1C54AB"/>
    <w:lvl w:ilvl="0" w:tentative="0">
      <w:start w:val="1"/>
      <w:numFmt w:val="decimal"/>
      <w:suff w:val="space"/>
      <w:lvlText w:val="%1."/>
      <w:lvlJc w:val="left"/>
      <w:pPr>
        <w:ind w:left="98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17CD5520"/>
    <w:multiLevelType w:val="multilevel"/>
    <w:tmpl w:val="17CD5520"/>
    <w:lvl w:ilvl="0" w:tentative="0">
      <w:start w:val="1"/>
      <w:numFmt w:val="decimal"/>
      <w:suff w:val="space"/>
      <w:lvlText w:val="(%1)"/>
      <w:lvlJc w:val="left"/>
      <w:pPr>
        <w:ind w:left="980" w:hanging="420"/>
      </w:pPr>
    </w:lvl>
    <w:lvl w:ilvl="1" w:tentative="0">
      <w:start w:val="1"/>
      <w:numFmt w:val="lowerLetter"/>
      <w:lvlText w:val="%2)"/>
      <w:lvlJc w:val="left"/>
      <w:pPr>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1DC07E10"/>
    <w:multiLevelType w:val="multilevel"/>
    <w:tmpl w:val="1DC07E10"/>
    <w:lvl w:ilvl="0" w:tentative="0">
      <w:start w:val="1"/>
      <w:numFmt w:val="decimal"/>
      <w:suff w:val="space"/>
      <w:lvlText w:val="(%1)"/>
      <w:lvlJc w:val="left"/>
      <w:pPr>
        <w:ind w:left="980" w:hanging="420"/>
      </w:pPr>
    </w:lvl>
    <w:lvl w:ilvl="1" w:tentative="0">
      <w:start w:val="1"/>
      <w:numFmt w:val="lowerLetter"/>
      <w:lvlText w:val="%2)"/>
      <w:lvlJc w:val="left"/>
      <w:pPr>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1E585BC6"/>
    <w:multiLevelType w:val="multilevel"/>
    <w:tmpl w:val="1E585BC6"/>
    <w:lvl w:ilvl="0" w:tentative="0">
      <w:start w:val="1"/>
      <w:numFmt w:val="decimal"/>
      <w:suff w:val="space"/>
      <w:lvlText w:val="(%1)"/>
      <w:lvlJc w:val="left"/>
      <w:pPr>
        <w:ind w:left="980" w:hanging="420"/>
      </w:pPr>
    </w:lvl>
    <w:lvl w:ilvl="1" w:tentative="0">
      <w:start w:val="1"/>
      <w:numFmt w:val="lowerLetter"/>
      <w:lvlText w:val="%2)"/>
      <w:lvlJc w:val="left"/>
      <w:pPr>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265787D1"/>
    <w:multiLevelType w:val="multilevel"/>
    <w:tmpl w:val="265787D1"/>
    <w:lvl w:ilvl="0" w:tentative="0">
      <w:start w:val="1"/>
      <w:numFmt w:val="decimal"/>
      <w:suff w:val="space"/>
      <w:lvlText w:val="(%1)"/>
      <w:lvlJc w:val="left"/>
      <w:pPr>
        <w:ind w:left="98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7981EC7"/>
    <w:multiLevelType w:val="multilevel"/>
    <w:tmpl w:val="27981EC7"/>
    <w:lvl w:ilvl="0" w:tentative="0">
      <w:start w:val="1"/>
      <w:numFmt w:val="decimal"/>
      <w:suff w:val="space"/>
      <w:lvlText w:val="(%1)"/>
      <w:lvlJc w:val="left"/>
      <w:pPr>
        <w:ind w:left="980" w:hanging="420"/>
      </w:pPr>
    </w:lvl>
    <w:lvl w:ilvl="1" w:tentative="0">
      <w:start w:val="1"/>
      <w:numFmt w:val="lowerLetter"/>
      <w:lvlText w:val="%2)"/>
      <w:lvlJc w:val="left"/>
      <w:pPr>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2F480C79"/>
    <w:multiLevelType w:val="multilevel"/>
    <w:tmpl w:val="2F480C79"/>
    <w:lvl w:ilvl="0" w:tentative="0">
      <w:start w:val="1"/>
      <w:numFmt w:val="decimal"/>
      <w:suff w:val="space"/>
      <w:lvlText w:val="(%1)"/>
      <w:lvlJc w:val="left"/>
      <w:pPr>
        <w:ind w:left="980" w:hanging="420"/>
      </w:pPr>
    </w:lvl>
    <w:lvl w:ilvl="1" w:tentative="0">
      <w:start w:val="1"/>
      <w:numFmt w:val="lowerLetter"/>
      <w:lvlText w:val="%2)"/>
      <w:lvlJc w:val="left"/>
      <w:pPr>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371850B5"/>
    <w:multiLevelType w:val="multilevel"/>
    <w:tmpl w:val="371850B5"/>
    <w:lvl w:ilvl="0" w:tentative="0">
      <w:start w:val="1"/>
      <w:numFmt w:val="decimal"/>
      <w:suff w:val="space"/>
      <w:lvlText w:val="%1."/>
      <w:lvlJc w:val="left"/>
      <w:pPr>
        <w:ind w:left="98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3A424676"/>
    <w:multiLevelType w:val="multilevel"/>
    <w:tmpl w:val="3A424676"/>
    <w:lvl w:ilvl="0" w:tentative="0">
      <w:start w:val="1"/>
      <w:numFmt w:val="decimal"/>
      <w:suff w:val="space"/>
      <w:lvlText w:val="(%1)"/>
      <w:lvlJc w:val="left"/>
      <w:pPr>
        <w:ind w:left="980" w:hanging="420"/>
      </w:pPr>
    </w:lvl>
    <w:lvl w:ilvl="1" w:tentative="0">
      <w:start w:val="1"/>
      <w:numFmt w:val="lowerLetter"/>
      <w:lvlText w:val="%2)"/>
      <w:lvlJc w:val="left"/>
      <w:pPr>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3F9B5AB7"/>
    <w:multiLevelType w:val="multilevel"/>
    <w:tmpl w:val="3F9B5AB7"/>
    <w:lvl w:ilvl="0" w:tentative="0">
      <w:start w:val="1"/>
      <w:numFmt w:val="decimal"/>
      <w:suff w:val="space"/>
      <w:lvlText w:val="%1."/>
      <w:lvlJc w:val="left"/>
      <w:pPr>
        <w:ind w:left="98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3FC24946"/>
    <w:multiLevelType w:val="multilevel"/>
    <w:tmpl w:val="3FC24946"/>
    <w:lvl w:ilvl="0" w:tentative="0">
      <w:start w:val="1"/>
      <w:numFmt w:val="decimal"/>
      <w:suff w:val="space"/>
      <w:lvlText w:val="%1."/>
      <w:lvlJc w:val="left"/>
      <w:pPr>
        <w:ind w:left="98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4AAD0374"/>
    <w:multiLevelType w:val="multilevel"/>
    <w:tmpl w:val="4AAD0374"/>
    <w:lvl w:ilvl="0" w:tentative="0">
      <w:start w:val="1"/>
      <w:numFmt w:val="decimal"/>
      <w:suff w:val="space"/>
      <w:lvlText w:val="%1."/>
      <w:lvlJc w:val="left"/>
      <w:pPr>
        <w:ind w:left="98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4B4F57F7"/>
    <w:multiLevelType w:val="multilevel"/>
    <w:tmpl w:val="4B4F57F7"/>
    <w:lvl w:ilvl="0" w:tentative="0">
      <w:start w:val="1"/>
      <w:numFmt w:val="decimal"/>
      <w:suff w:val="space"/>
      <w:lvlText w:val="%1."/>
      <w:lvlJc w:val="left"/>
      <w:pPr>
        <w:ind w:left="98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4F5C4AF6"/>
    <w:multiLevelType w:val="multilevel"/>
    <w:tmpl w:val="4F5C4AF6"/>
    <w:lvl w:ilvl="0" w:tentative="0">
      <w:start w:val="1"/>
      <w:numFmt w:val="decimal"/>
      <w:suff w:val="space"/>
      <w:lvlText w:val="%1."/>
      <w:lvlJc w:val="left"/>
      <w:pPr>
        <w:ind w:left="98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55743A15"/>
    <w:multiLevelType w:val="multilevel"/>
    <w:tmpl w:val="55743A15"/>
    <w:lvl w:ilvl="0" w:tentative="0">
      <w:start w:val="1"/>
      <w:numFmt w:val="decimal"/>
      <w:suff w:val="space"/>
      <w:lvlText w:val="(%1)"/>
      <w:lvlJc w:val="left"/>
      <w:pPr>
        <w:ind w:left="98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64449E7"/>
    <w:multiLevelType w:val="multilevel"/>
    <w:tmpl w:val="564449E7"/>
    <w:lvl w:ilvl="0" w:tentative="0">
      <w:start w:val="1"/>
      <w:numFmt w:val="decimal"/>
      <w:suff w:val="space"/>
      <w:lvlText w:val="%1."/>
      <w:lvlJc w:val="left"/>
      <w:pPr>
        <w:ind w:left="98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57047FF8"/>
    <w:multiLevelType w:val="multilevel"/>
    <w:tmpl w:val="57047FF8"/>
    <w:lvl w:ilvl="0" w:tentative="0">
      <w:start w:val="1"/>
      <w:numFmt w:val="decimal"/>
      <w:lvlText w:val="%1."/>
      <w:lvlJc w:val="left"/>
      <w:pPr>
        <w:ind w:left="98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5C65642B"/>
    <w:multiLevelType w:val="multilevel"/>
    <w:tmpl w:val="5C65642B"/>
    <w:lvl w:ilvl="0" w:tentative="0">
      <w:start w:val="1"/>
      <w:numFmt w:val="decimal"/>
      <w:suff w:val="space"/>
      <w:lvlText w:val="(%1)"/>
      <w:lvlJc w:val="left"/>
      <w:pPr>
        <w:ind w:left="98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8FD9BCC"/>
    <w:multiLevelType w:val="singleLevel"/>
    <w:tmpl w:val="68FD9BCC"/>
    <w:lvl w:ilvl="0" w:tentative="0">
      <w:start w:val="1"/>
      <w:numFmt w:val="decimal"/>
      <w:suff w:val="nothing"/>
      <w:lvlText w:val="%1．"/>
      <w:lvlJc w:val="left"/>
      <w:pPr>
        <w:ind w:left="0" w:firstLine="400"/>
      </w:pPr>
    </w:lvl>
  </w:abstractNum>
  <w:abstractNum w:abstractNumId="23">
    <w:nsid w:val="71437228"/>
    <w:multiLevelType w:val="multilevel"/>
    <w:tmpl w:val="71437228"/>
    <w:lvl w:ilvl="0" w:tentative="0">
      <w:start w:val="1"/>
      <w:numFmt w:val="chineseCountingThousand"/>
      <w:suff w:val="space"/>
      <w:lvlText w:val="%1、"/>
      <w:lvlJc w:val="left"/>
      <w:pPr>
        <w:ind w:left="98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729C2330"/>
    <w:multiLevelType w:val="multilevel"/>
    <w:tmpl w:val="729C2330"/>
    <w:lvl w:ilvl="0" w:tentative="0">
      <w:start w:val="1"/>
      <w:numFmt w:val="decimal"/>
      <w:suff w:val="space"/>
      <w:lvlText w:val="%1."/>
      <w:lvlJc w:val="left"/>
      <w:pPr>
        <w:ind w:left="98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5">
    <w:nsid w:val="7A92E943"/>
    <w:multiLevelType w:val="singleLevel"/>
    <w:tmpl w:val="7A92E943"/>
    <w:lvl w:ilvl="0" w:tentative="0">
      <w:start w:val="1"/>
      <w:numFmt w:val="lowerLetter"/>
      <w:suff w:val="nothing"/>
      <w:lvlText w:val="%1．"/>
      <w:lvlJc w:val="left"/>
      <w:pPr>
        <w:ind w:left="0" w:firstLine="403"/>
      </w:pPr>
    </w:lvl>
  </w:abstractNum>
  <w:abstractNum w:abstractNumId="26">
    <w:nsid w:val="7F5A61E0"/>
    <w:multiLevelType w:val="multilevel"/>
    <w:tmpl w:val="7F5A61E0"/>
    <w:lvl w:ilvl="0" w:tentative="0">
      <w:start w:val="1"/>
      <w:numFmt w:val="decimal"/>
      <w:suff w:val="space"/>
      <w:lvlText w:val="%1."/>
      <w:lvlJc w:val="left"/>
      <w:pPr>
        <w:ind w:left="98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9C5F89"/>
    <w:rsid w:val="01487825"/>
    <w:rsid w:val="099C5F89"/>
    <w:rsid w:val="4F2E3252"/>
    <w:rsid w:val="60166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List Paragraph"/>
    <w:basedOn w:val="1"/>
    <w:qFormat/>
    <w:uiPriority w:val="0"/>
    <w:pPr>
      <w:suppressAutoHyphens/>
      <w:ind w:firstLine="420" w:firstLineChars="200"/>
    </w:pPr>
    <w:rPr>
      <w:lang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8334</Words>
  <Characters>8363</Characters>
  <Lines>0</Lines>
  <Paragraphs>0</Paragraphs>
  <TotalTime>1</TotalTime>
  <ScaleCrop>false</ScaleCrop>
  <LinksUpToDate>false</LinksUpToDate>
  <CharactersWithSpaces>8931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2021-05-28T06:38:00Z</dcterms:created>
  <dc:creator>真宇律师</dc:creator>
  <cp:lastModifiedBy>豪</cp:lastModifiedBy>
  <dcterms:modified xsi:type="dcterms:W3CDTF">2026-03-22T07:29:49Z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D0E71CB3E4274CD0BDE7979F2D01879B</vt:lpwstr>
  </property>
  <property fmtid="{D5CDD505-2E9C-101B-9397-08002B2CF9AE}" pid="4" name="KSOTemplateDocerSaveRecord">
    <vt:lpwstr>eyJoZGlkIjoiNTg0MzMyNGJiMDEzODc5ODNlMGVjODViOWRkZjg1MDgiLCJ1c2VySWQiOiIxMjc2Mzc3NjgxIn0=</vt:lpwstr>
  </property>
</Properties>
</file>