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E84771">
      <w:pPr>
        <w:spacing w:line="360" w:lineRule="auto"/>
        <w:jc w:val="center"/>
        <w:rPr>
          <w:b/>
          <w:bCs/>
          <w:sz w:val="36"/>
          <w:szCs w:val="36"/>
        </w:rPr>
      </w:pPr>
      <w:bookmarkStart w:id="0" w:name="_GoBack"/>
    </w:p>
    <w:p w14:paraId="0309B4B6">
      <w:pPr>
        <w:pStyle w:val="2"/>
        <w:widowControl/>
        <w:spacing w:before="0" w:after="0" w:line="360" w:lineRule="auto"/>
        <w:rPr>
          <w:rFonts w:hint="eastAsia" w:ascii="微软雅黑" w:hAnsi="微软雅黑" w:eastAsia="微软雅黑" w:cs="微软雅黑"/>
          <w:b/>
          <w:bCs/>
          <w:spacing w:val="57"/>
          <w:sz w:val="36"/>
          <w:szCs w:val="36"/>
        </w:rPr>
      </w:pPr>
      <w:r>
        <w:rPr>
          <w:rFonts w:hint="eastAsia" w:ascii="微软雅黑" w:hAnsi="微软雅黑" w:eastAsia="微软雅黑" w:cs="微软雅黑"/>
          <w:b/>
          <w:bCs/>
          <w:spacing w:val="57"/>
          <w:sz w:val="36"/>
          <w:szCs w:val="36"/>
        </w:rPr>
        <w:t>铲车租赁合同</w:t>
      </w:r>
    </w:p>
    <w:bookmarkEnd w:id="0"/>
    <w:p w14:paraId="26666AEF">
      <w:pPr>
        <w:pStyle w:val="5"/>
        <w:spacing w:before="0" w:beforeAutospacing="0" w:after="0" w:afterAutospacing="0" w:line="360" w:lineRule="auto"/>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p>
    <w:p w14:paraId="42210AE0">
      <w:pPr>
        <w:pStyle w:val="5"/>
        <w:spacing w:before="0" w:beforeAutospacing="0" w:after="0" w:afterAutospacing="0" w:line="360" w:lineRule="auto"/>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甲方(承租人)：</w:t>
      </w:r>
    </w:p>
    <w:p w14:paraId="08AAF8C3">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身份证号\统一社会信用代码：</w:t>
      </w:r>
    </w:p>
    <w:p w14:paraId="22160BF6">
      <w:pPr>
        <w:pStyle w:val="5"/>
        <w:spacing w:before="0" w:beforeAutospacing="0" w:after="0" w:afterAutospacing="0" w:line="360" w:lineRule="auto"/>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p>
    <w:p w14:paraId="42D59BE8">
      <w:pPr>
        <w:pStyle w:val="5"/>
        <w:spacing w:before="0" w:beforeAutospacing="0" w:after="0" w:afterAutospacing="0" w:line="360" w:lineRule="auto"/>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乙方（出租人）：</w:t>
      </w:r>
    </w:p>
    <w:p w14:paraId="17CAEE52">
      <w:pPr>
        <w:wordWrap w:val="0"/>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身份证号\统一社会信用代码：</w:t>
      </w:r>
    </w:p>
    <w:p w14:paraId="5F258DDD">
      <w:pPr>
        <w:wordWrap w:val="0"/>
        <w:spacing w:line="360" w:lineRule="auto"/>
        <w:ind w:firstLine="480" w:firstLineChars="200"/>
        <w:rPr>
          <w:rFonts w:hint="eastAsia" w:ascii="微软雅黑" w:hAnsi="微软雅黑" w:eastAsia="微软雅黑" w:cs="微软雅黑"/>
          <w:sz w:val="24"/>
          <w:szCs w:val="24"/>
          <w:lang w:bidi="ar"/>
        </w:rPr>
      </w:pPr>
    </w:p>
    <w:p w14:paraId="3EC03B77">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根据《中华人民共和国民法典》等有关法律、法规的规定，为明确设备租赁双方的权利义务，甲方根据工程需要，租赁乙方施工机械，经甲乙双方友好协商，就租赁机械设备事宜签订协议如下，以便共同遵守。</w:t>
      </w:r>
    </w:p>
    <w:p w14:paraId="6FB61873">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lang w:bidi="ar"/>
        </w:rPr>
        <w:t>一、车型</w:t>
      </w:r>
      <w:r>
        <w:rPr>
          <w:rFonts w:hint="eastAsia" w:ascii="微软雅黑" w:hAnsi="微软雅黑" w:eastAsia="微软雅黑" w:cs="微软雅黑"/>
          <w:sz w:val="24"/>
          <w:szCs w:val="24"/>
          <w:lang w:bidi="ar"/>
        </w:rPr>
        <w:t>：</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铲车</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 xml:space="preserve">台  </w:t>
      </w:r>
    </w:p>
    <w:p w14:paraId="37D4D3E9">
      <w:pPr>
        <w:wordWrap w:val="0"/>
        <w:spacing w:line="360" w:lineRule="auto"/>
        <w:ind w:firstLine="480" w:firstLineChars="200"/>
        <w:rPr>
          <w:rFonts w:hint="eastAsia" w:ascii="微软雅黑" w:hAnsi="微软雅黑" w:eastAsia="微软雅黑" w:cs="微软雅黑"/>
          <w:b/>
          <w:sz w:val="24"/>
          <w:szCs w:val="24"/>
          <w:lang w:bidi="ar"/>
        </w:rPr>
      </w:pPr>
    </w:p>
    <w:p w14:paraId="7AD26D47">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lang w:bidi="ar"/>
        </w:rPr>
        <w:t>二、租赁使用地点</w:t>
      </w:r>
      <w:r>
        <w:rPr>
          <w:rFonts w:hint="eastAsia" w:ascii="微软雅黑" w:hAnsi="微软雅黑" w:eastAsia="微软雅黑" w:cs="微软雅黑"/>
          <w:sz w:val="24"/>
          <w:szCs w:val="24"/>
          <w:lang w:bidi="ar"/>
        </w:rPr>
        <w:t>：</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w:t>
      </w:r>
    </w:p>
    <w:p w14:paraId="75B7429D">
      <w:pPr>
        <w:wordWrap w:val="0"/>
        <w:spacing w:line="360" w:lineRule="auto"/>
        <w:ind w:firstLine="480" w:firstLineChars="200"/>
        <w:rPr>
          <w:rFonts w:hint="eastAsia" w:ascii="微软雅黑" w:hAnsi="微软雅黑" w:eastAsia="微软雅黑" w:cs="微软雅黑"/>
          <w:b/>
          <w:sz w:val="24"/>
          <w:szCs w:val="24"/>
          <w:lang w:bidi="ar"/>
        </w:rPr>
      </w:pPr>
    </w:p>
    <w:p w14:paraId="12836AC3">
      <w:pPr>
        <w:wordWrap w:val="0"/>
        <w:spacing w:line="360" w:lineRule="auto"/>
        <w:ind w:firstLine="480" w:firstLineChars="200"/>
        <w:rPr>
          <w:rFonts w:hint="eastAsia" w:ascii="微软雅黑" w:hAnsi="微软雅黑" w:eastAsia="微软雅黑" w:cs="微软雅黑"/>
          <w:b/>
          <w:sz w:val="24"/>
          <w:szCs w:val="24"/>
          <w:lang w:bidi="ar"/>
        </w:rPr>
      </w:pPr>
      <w:r>
        <w:rPr>
          <w:rFonts w:hint="eastAsia" w:ascii="微软雅黑" w:hAnsi="微软雅黑" w:eastAsia="微软雅黑" w:cs="微软雅黑"/>
          <w:b/>
          <w:sz w:val="24"/>
          <w:szCs w:val="24"/>
          <w:lang w:bidi="ar"/>
        </w:rPr>
        <w:t>三、租用期限</w:t>
      </w:r>
      <w:r>
        <w:rPr>
          <w:rFonts w:hint="eastAsia" w:ascii="微软雅黑" w:hAnsi="微软雅黑" w:eastAsia="微软雅黑" w:cs="微软雅黑"/>
          <w:sz w:val="24"/>
          <w:szCs w:val="24"/>
          <w:lang w:bidi="ar"/>
        </w:rPr>
        <w:t>：自乙方接到甲方通知，且机械设备到达甲方指定现场之日起计租，租期至甲方正式通知乙方退场时止。</w:t>
      </w:r>
    </w:p>
    <w:p w14:paraId="56A379B4">
      <w:pPr>
        <w:wordWrap w:val="0"/>
        <w:spacing w:line="360" w:lineRule="auto"/>
        <w:ind w:firstLine="480" w:firstLineChars="200"/>
        <w:rPr>
          <w:rFonts w:hint="eastAsia" w:ascii="微软雅黑" w:hAnsi="微软雅黑" w:eastAsia="微软雅黑" w:cs="微软雅黑"/>
          <w:b/>
          <w:sz w:val="24"/>
          <w:szCs w:val="24"/>
          <w:lang w:bidi="ar"/>
        </w:rPr>
      </w:pPr>
    </w:p>
    <w:p w14:paraId="5880D770">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bidi="ar"/>
        </w:rPr>
        <w:t>四、租赁形式及结算方式</w:t>
      </w:r>
    </w:p>
    <w:p w14:paraId="61D5D6DA">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1.乙方以月租形式将机械设备租给甲方，月租金为人民币大写：</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元/月，租赁时间不足一月者，按实际使用天数结算。日租金=月租金/30天；</w:t>
      </w:r>
    </w:p>
    <w:p w14:paraId="63A04A00">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2.机械设备在租赁期间产生的运费由乙方自行负责；</w:t>
      </w:r>
    </w:p>
    <w:p w14:paraId="1743D5E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3.租金的结算方式：按照经业主、监理、甲方三方验收合格后支付已完工程的量给予进度的进度款百分比支付给乙方。余额主体竣工验收达到要求后，其余余款项结算完毕后</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个月内付清。费用并随本合同规定支付；实际台班按实际结算为准，税票由乙方提供。</w:t>
      </w:r>
    </w:p>
    <w:p w14:paraId="20724BC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4.乙方须配备合格的司机并持有效的本机操作证，</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小时随叫随到，以保证甲方施工需要。</w:t>
      </w:r>
    </w:p>
    <w:p w14:paraId="5BD1B5A2">
      <w:pPr>
        <w:wordWrap w:val="0"/>
        <w:spacing w:line="360" w:lineRule="auto"/>
        <w:ind w:firstLine="480" w:firstLineChars="200"/>
        <w:rPr>
          <w:rFonts w:hint="eastAsia" w:ascii="微软雅黑" w:hAnsi="微软雅黑" w:eastAsia="微软雅黑" w:cs="微软雅黑"/>
          <w:b/>
          <w:sz w:val="24"/>
          <w:szCs w:val="24"/>
          <w:lang w:bidi="ar"/>
        </w:rPr>
      </w:pPr>
    </w:p>
    <w:p w14:paraId="1731E55D">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bidi="ar"/>
        </w:rPr>
        <w:t>五、甲乙双方权利义务</w:t>
      </w:r>
    </w:p>
    <w:p w14:paraId="7038EEA2">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1.机械设备在租赁期间，乙方机械司机要服从甲方的工作安排，因乙方司机不服从甲方的安排，甲方有权要求更换司机和终止合同。司机在作业期间对机械设备和自身安全负全责。严格按照机械设备操作规程操作，不得违规，否则由此引发的一切安全事故均由乙方负责，费用自理；</w:t>
      </w:r>
    </w:p>
    <w:p w14:paraId="5327B27D">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2.乙方负责机械设备的维修、保养、辅油等及其相应费用，完好率每月不低于</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天，每低于一天从月租金扣除一天，确保甲方工程施工正常进行；</w:t>
      </w:r>
    </w:p>
    <w:p w14:paraId="34F7462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3.甲方提供工程施工场地，并保证施工环境良好。乙方同意甲方提供的施工场地和环境符合机械设备作业条件；</w:t>
      </w:r>
    </w:p>
    <w:p w14:paraId="0D4AC007">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4.乙方为甲方提供的机械设备必须手续齐全（合格证、技术检验证等）。因机械设备手续不全而被地方行政机关扣留等一切责任由乙方负责；</w:t>
      </w:r>
    </w:p>
    <w:p w14:paraId="07B58412">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5.乙方的机械设备应保证外观整洁、技术性能良好、运转正常，满足施工需要，在机械设备出现故障且乙方不能在规定的时间内修理好时，应提前采取措施，保证甲方工程的正常施工；</w:t>
      </w:r>
    </w:p>
    <w:p w14:paraId="59984A81">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6.乙方的机械设备管理人员和司机必须服从甲方的管理，严格遵守甲方的各项管理制度；每天工作</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小时，由甲方根据工作需要自行安排，乙方工作人员必须服从甲方指挥、调动，严格按本机械的操作规程工作，否则造成事故及损失由乙方负责，甲方有权在当月的租赁费中扣除。</w:t>
      </w:r>
    </w:p>
    <w:p w14:paraId="426F17E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7.甲方无权将乙方的设备转租、拍卖、抵押。</w:t>
      </w:r>
    </w:p>
    <w:p w14:paraId="3AF48EA6">
      <w:pPr>
        <w:wordWrap w:val="0"/>
        <w:spacing w:line="360" w:lineRule="auto"/>
        <w:ind w:firstLine="480" w:firstLineChars="200"/>
        <w:rPr>
          <w:rFonts w:hint="eastAsia" w:ascii="微软雅黑" w:hAnsi="微软雅黑" w:eastAsia="微软雅黑" w:cs="微软雅黑"/>
          <w:b/>
          <w:sz w:val="24"/>
          <w:szCs w:val="24"/>
          <w:lang w:bidi="ar"/>
        </w:rPr>
      </w:pPr>
    </w:p>
    <w:p w14:paraId="531143B4">
      <w:pPr>
        <w:wordWrap w:val="0"/>
        <w:spacing w:line="360" w:lineRule="auto"/>
        <w:ind w:firstLine="480" w:firstLineChars="200"/>
        <w:rPr>
          <w:rFonts w:hint="eastAsia" w:ascii="微软雅黑" w:hAnsi="微软雅黑" w:eastAsia="微软雅黑" w:cs="微软雅黑"/>
          <w:b/>
          <w:sz w:val="24"/>
          <w:szCs w:val="24"/>
          <w:lang w:bidi="ar"/>
        </w:rPr>
      </w:pPr>
    </w:p>
    <w:p w14:paraId="585F4295">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bidi="ar"/>
        </w:rPr>
        <w:t>六、违约责任</w:t>
      </w:r>
    </w:p>
    <w:p w14:paraId="598A2113">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1.甲方未按合同约定支付租金的，自逾期之日起向乙方支付总租赁费</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%的违约金，若超过</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日，则乙方有权解除合同，并要求其支付所欠租金。</w:t>
      </w:r>
    </w:p>
    <w:p w14:paraId="2323B2AA">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2.甲方在租赁期间未尽到妥善保管义务的，所造成损失一切损失由甲自行承担。导致租赁设备毁损、灭失，无法正常使用的，由甲方承担除保险赔偿和残存价值外的所有费用，需要评估的，费用由甲方承担。</w:t>
      </w:r>
    </w:p>
    <w:p w14:paraId="2B89F8A7">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3.乙方未按照合同约定向甲交付相关规格机械设备的，甲方有权要求其承担总租赁费</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%的违约金。</w:t>
      </w:r>
    </w:p>
    <w:p w14:paraId="6714F0CA">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4.乙交付机械设备完全不符合合同约定或迟延交付的，甲有权拒绝支付租金，并有权要求乙方承担租赁费</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%违约金。</w:t>
      </w:r>
    </w:p>
    <w:p w14:paraId="29665238">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5.乙交付的租赁设备有质量隐患，导致其损毁、灭失的，费用由乙方承担，承租权人有权要求其承担</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%违约金。</w:t>
      </w:r>
    </w:p>
    <w:p w14:paraId="556D0A34">
      <w:pPr>
        <w:wordWrap w:val="0"/>
        <w:spacing w:line="360" w:lineRule="auto"/>
        <w:ind w:firstLine="480" w:firstLineChars="200"/>
        <w:rPr>
          <w:rFonts w:hint="eastAsia" w:ascii="微软雅黑" w:hAnsi="微软雅黑" w:eastAsia="微软雅黑" w:cs="微软雅黑"/>
          <w:b/>
          <w:sz w:val="24"/>
          <w:szCs w:val="24"/>
          <w:lang w:bidi="ar"/>
        </w:rPr>
      </w:pPr>
    </w:p>
    <w:p w14:paraId="532D6141">
      <w:pPr>
        <w:tabs>
          <w:tab w:val="left" w:pos="0"/>
        </w:tabs>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sz w:val="24"/>
          <w:szCs w:val="24"/>
          <w:lang w:bidi="ar"/>
        </w:rPr>
        <w:t>七、</w:t>
      </w:r>
      <w:r>
        <w:rPr>
          <w:rFonts w:hint="eastAsia" w:ascii="微软雅黑" w:hAnsi="微软雅黑" w:eastAsia="微软雅黑" w:cs="微软雅黑"/>
          <w:b/>
          <w:bCs/>
          <w:color w:val="000000" w:themeColor="text1"/>
          <w:sz w:val="24"/>
          <w:szCs w:val="24"/>
          <w14:textFill>
            <w14:solidFill>
              <w14:schemeClr w14:val="tx1"/>
            </w14:solidFill>
          </w14:textFill>
        </w:rPr>
        <w:t>免责条款</w:t>
      </w:r>
    </w:p>
    <w:p w14:paraId="0EF8D7D4">
      <w:pPr>
        <w:autoSpaceDE w:val="0"/>
        <w:autoSpaceDN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1.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7B7C91FD">
      <w:pPr>
        <w:autoSpaceDE w:val="0"/>
        <w:autoSpaceDN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2.当出现双方在订立合同时无法预见的、不属于商业风险的重大变化，双方不能协商变更合同导致合同解除的，双方互不承担违约责任。</w:t>
      </w:r>
    </w:p>
    <w:p w14:paraId="74F99D07">
      <w:pPr>
        <w:tabs>
          <w:tab w:val="left" w:pos="0"/>
        </w:tabs>
        <w:spacing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3.因治安管理案件或刑事犯罪案件，包括但不限于故意伤害、爆炸、偷盗、抢劫等导致人身伤害或财产损失的，由行为人承担责任</w:t>
      </w:r>
      <w:r>
        <w:rPr>
          <w:rFonts w:hint="eastAsia" w:ascii="微软雅黑" w:hAnsi="微软雅黑" w:eastAsia="微软雅黑" w:cs="微软雅黑"/>
          <w:bCs/>
          <w:color w:val="000000" w:themeColor="text1"/>
          <w:sz w:val="24"/>
          <w:szCs w:val="24"/>
          <w14:textFill>
            <w14:solidFill>
              <w14:schemeClr w14:val="tx1"/>
            </w14:solidFill>
          </w14:textFill>
        </w:rPr>
        <w:t>。</w:t>
      </w:r>
    </w:p>
    <w:p w14:paraId="270A1B24">
      <w:pPr>
        <w:wordWrap w:val="0"/>
        <w:spacing w:line="360" w:lineRule="auto"/>
        <w:ind w:firstLine="480" w:firstLineChars="200"/>
        <w:rPr>
          <w:rFonts w:hint="eastAsia" w:ascii="微软雅黑" w:hAnsi="微软雅黑" w:eastAsia="微软雅黑" w:cs="微软雅黑"/>
          <w:b/>
          <w:sz w:val="24"/>
          <w:szCs w:val="24"/>
          <w:lang w:bidi="ar"/>
        </w:rPr>
      </w:pPr>
    </w:p>
    <w:p w14:paraId="49C008D2">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bidi="ar"/>
        </w:rPr>
        <w:t>八、争议解决</w:t>
      </w:r>
    </w:p>
    <w:p w14:paraId="13E00377">
      <w:pPr>
        <w:wordWrap w:val="0"/>
        <w:spacing w:line="360" w:lineRule="auto"/>
        <w:ind w:firstLine="480" w:firstLineChars="200"/>
        <w:rPr>
          <w:rFonts w:hint="eastAsia" w:ascii="微软雅黑" w:hAnsi="微软雅黑" w:eastAsia="微软雅黑" w:cs="微软雅黑"/>
          <w:b/>
          <w:sz w:val="24"/>
          <w:szCs w:val="24"/>
          <w:lang w:bidi="ar"/>
        </w:rPr>
      </w:pPr>
      <w:r>
        <w:rPr>
          <w:rFonts w:hint="eastAsia" w:ascii="微软雅黑" w:hAnsi="微软雅黑" w:eastAsia="微软雅黑" w:cs="微软雅黑"/>
          <w:color w:val="000000"/>
          <w:sz w:val="24"/>
          <w:szCs w:val="24"/>
        </w:rPr>
        <w:t>凡因本合同引起的或与本合同有关的任何争议，均提交</w:t>
      </w:r>
      <w:r>
        <w:rPr>
          <w:rFonts w:hint="eastAsia" w:ascii="微软雅黑" w:hAnsi="微软雅黑" w:eastAsia="微软雅黑" w:cs="微软雅黑"/>
          <w:color w:val="000000"/>
          <w:sz w:val="24"/>
          <w:szCs w:val="24"/>
          <w:lang w:eastAsia="zh-CN"/>
        </w:rPr>
        <w:t>蚌埠</w:t>
      </w:r>
      <w:r>
        <w:rPr>
          <w:rFonts w:hint="eastAsia" w:ascii="微软雅黑" w:hAnsi="微软雅黑" w:eastAsia="微软雅黑" w:cs="微软雅黑"/>
          <w:color w:val="000000"/>
          <w:sz w:val="24"/>
          <w:szCs w:val="24"/>
        </w:rPr>
        <w:t>仲裁委员会，按照该会的仲裁规则进行仲裁。仲裁裁决是终局的，对双方均有约束力。</w:t>
      </w:r>
    </w:p>
    <w:p w14:paraId="13F1A601">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bidi="ar"/>
        </w:rPr>
        <w:t>九、其他约定</w:t>
      </w:r>
    </w:p>
    <w:p w14:paraId="387A2990">
      <w:pPr>
        <w:tabs>
          <w:tab w:val="left" w:pos="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kern w:val="0"/>
          <w:sz w:val="24"/>
          <w:szCs w:val="24"/>
          <w:lang w:bidi="ar"/>
        </w:rPr>
        <w:t>1.本合同自双方或双方法定代表人或其委托代理人签字并加盖单位公章或合同专用章之日起生效，</w:t>
      </w:r>
      <w:r>
        <w:rPr>
          <w:rFonts w:hint="eastAsia" w:ascii="微软雅黑" w:hAnsi="微软雅黑" w:eastAsia="微软雅黑" w:cs="微软雅黑"/>
          <w:color w:val="000000" w:themeColor="text1"/>
          <w:sz w:val="24"/>
          <w:szCs w:val="24"/>
          <w14:textFill>
            <w14:solidFill>
              <w14:schemeClr w14:val="tx1"/>
            </w14:solidFill>
          </w14:textFill>
        </w:rPr>
        <w:t>约定事项全部完成后失效，但保密条款除外。</w:t>
      </w:r>
    </w:p>
    <w:p w14:paraId="419951CE">
      <w:pPr>
        <w:tabs>
          <w:tab w:val="left" w:pos="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2.本合同一式</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份，甲方持</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份，乙方持</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份，具有同等法律效力。</w:t>
      </w:r>
    </w:p>
    <w:p w14:paraId="31E4132B">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3.在本合同执行过程中，如发现相关事项约定不明确，或者履行其他事项受到限制需要增加、调整约定事项的，甲乙双方可对本合同相关条款进行变更，并签订补充协议或者重新签订合同。</w:t>
      </w:r>
    </w:p>
    <w:p w14:paraId="47759AA5">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w:t>
      </w:r>
      <w:r>
        <w:rPr>
          <w:rFonts w:hint="eastAsia" w:ascii="微软雅黑" w:hAnsi="微软雅黑" w:eastAsia="微软雅黑" w:cs="微软雅黑"/>
          <w:color w:val="000000" w:themeColor="text1"/>
          <w:kern w:val="0"/>
          <w:sz w:val="24"/>
          <w:szCs w:val="24"/>
          <w:lang w:bidi="ar"/>
          <w14:textFill>
            <w14:solidFill>
              <w14:schemeClr w14:val="tx1"/>
            </w14:solidFill>
          </w14:textFill>
        </w:rPr>
        <w:t>送达地址以及送达条款</w:t>
      </w:r>
    </w:p>
    <w:p w14:paraId="3D8105F4">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（1）送达地址以及方式</w:t>
      </w:r>
    </w:p>
    <w:p w14:paraId="6F0776DF">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送达地址</w:t>
      </w:r>
    </w:p>
    <w:p w14:paraId="329E7892">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甲方确认送达地址如下：</w:t>
      </w:r>
    </w:p>
    <w:p w14:paraId="692F9AFC">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地址：    省    市    区/县    路    号，</w:t>
      </w:r>
    </w:p>
    <w:p w14:paraId="50C66EED">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邮编：            ，</w:t>
      </w:r>
    </w:p>
    <w:p w14:paraId="2F81D757">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联系人：      ，</w:t>
      </w:r>
    </w:p>
    <w:p w14:paraId="1AC4F8D7">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联系电话：      -            。</w:t>
      </w:r>
    </w:p>
    <w:p w14:paraId="1DA72085">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甲方电子送达方式如下：</w:t>
      </w:r>
    </w:p>
    <w:p w14:paraId="0FE0ACBA">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手机短信：                  </w:t>
      </w:r>
    </w:p>
    <w:p w14:paraId="499737EB">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传真：      -            </w:t>
      </w:r>
    </w:p>
    <w:p w14:paraId="7374C276">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即时通讯账号（微信号）：                  </w:t>
      </w:r>
    </w:p>
    <w:p w14:paraId="680AF345">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电子邮箱：            。</w:t>
      </w:r>
    </w:p>
    <w:p w14:paraId="7C8F5A3F">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p>
    <w:p w14:paraId="0AD2497A">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乙方确认送达地址如下：</w:t>
      </w:r>
    </w:p>
    <w:p w14:paraId="3EC0C34B">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地址：    省    市    区/县    路    号，</w:t>
      </w:r>
    </w:p>
    <w:p w14:paraId="39349405">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邮编：            ，</w:t>
      </w:r>
    </w:p>
    <w:p w14:paraId="371D4B34">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联系人：      ，</w:t>
      </w:r>
    </w:p>
    <w:p w14:paraId="7A4B57D2">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联系电话：      -            。</w:t>
      </w:r>
    </w:p>
    <w:p w14:paraId="0DACD436">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乙方电子送达方式如下：</w:t>
      </w:r>
    </w:p>
    <w:p w14:paraId="23B3CC51">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手机短信：                  </w:t>
      </w:r>
    </w:p>
    <w:p w14:paraId="582FCBAC">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传真：      -            </w:t>
      </w:r>
    </w:p>
    <w:p w14:paraId="204FC2C0">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即时通讯账号（微信号）：                  </w:t>
      </w:r>
    </w:p>
    <w:p w14:paraId="11D88BBA">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电子邮箱：</w:t>
      </w:r>
    </w:p>
    <w:p w14:paraId="00DFE07F">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送达方式</w:t>
      </w:r>
    </w:p>
    <w:p w14:paraId="4FCB1A93">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双方同意，本合同项下的通知、函件、诉讼文书等文件，以下列方式送达对方：</w:t>
      </w:r>
    </w:p>
    <w:p w14:paraId="634246A8">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直接送达：将文件送至对方指定的送达地址，视为已送达；</w:t>
      </w:r>
    </w:p>
    <w:p w14:paraId="289C822F">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邮寄送达：将文件通过挂号信、特快专递等方式寄至对方指定的送达地址，以邮戳日期为准，视为已送达；</w:t>
      </w:r>
    </w:p>
    <w:p w14:paraId="3F91C362">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电子送达：将文件通过电子邮件、短信、微信等方式发送至对方指定的电子邮箱、手机号码等，发送成功即视为已送达。</w:t>
      </w:r>
    </w:p>
    <w:p w14:paraId="27B2276D">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（2）送达条款</w:t>
      </w:r>
    </w:p>
    <w:p w14:paraId="5F649E3B">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本送达条款适用于合同履行期间及合同纠纷解决过程中的所有文件送达。</w:t>
      </w:r>
    </w:p>
    <w:p w14:paraId="165D93EA">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495B0A58">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双方在合同履行过程中由双方共同明示或默示确认的合同约定外的送达地址和联系方式不影响送达效力。</w:t>
      </w:r>
    </w:p>
    <w:p w14:paraId="3A7C59C7">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2AA8DED4">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双方应当保证本合同约定送达地址以及联系方式为有效地址及联系方式。一方变更送达信息的，应在变更后一日内通知对方，未及时通知的，发送方按照原约定方式送达，视为送达成功。</w:t>
      </w:r>
    </w:p>
    <w:p w14:paraId="6B7F0D5A">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双方发生争议，关于裁判机构的送达文书，接收方存在以下行为之一的，</w:t>
      </w:r>
      <w:r>
        <w:rPr>
          <w:rFonts w:hint="eastAsia" w:ascii="微软雅黑" w:hAnsi="微软雅黑" w:eastAsia="微软雅黑" w:cs="微软雅黑"/>
          <w:color w:val="000000" w:themeColor="text1"/>
          <w:kern w:val="0"/>
          <w:sz w:val="24"/>
          <w:szCs w:val="24"/>
          <w:lang w:eastAsia="zh-CN" w:bidi="ar"/>
          <w14:textFill>
            <w14:solidFill>
              <w14:schemeClr w14:val="tx1"/>
            </w14:solidFill>
          </w14:textFill>
        </w:rPr>
        <w:t>蚌埠</w:t>
      </w:r>
      <w:r>
        <w:rPr>
          <w:rFonts w:hint="eastAsia" w:ascii="微软雅黑" w:hAnsi="微软雅黑" w:eastAsia="微软雅黑" w:cs="微软雅黑"/>
          <w:color w:val="000000" w:themeColor="text1"/>
          <w:kern w:val="0"/>
          <w:sz w:val="24"/>
          <w:szCs w:val="24"/>
          <w:lang w:bidi="ar"/>
          <w14:textFill>
            <w14:solidFill>
              <w14:schemeClr w14:val="tx1"/>
            </w14:solidFill>
          </w14:textFill>
        </w:rPr>
        <w:t>仲裁委员会有权依据法律和适时有效的仲裁规则规定进行送达，法律与仲裁规则规定程序完成之日，视为送达成功：</w:t>
      </w:r>
    </w:p>
    <w:p w14:paraId="7FC7EC0B">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擅自变更送达地址及信息且未及时通知对方的；</w:t>
      </w:r>
    </w:p>
    <w:p w14:paraId="674DB6A7">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送达地址与信息同工商登记信息不一致且未及时更改的；</w:t>
      </w:r>
    </w:p>
    <w:p w14:paraId="1DA829AC">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故意不接收</w:t>
      </w:r>
      <w:r>
        <w:rPr>
          <w:rFonts w:hint="eastAsia" w:ascii="微软雅黑" w:hAnsi="微软雅黑" w:eastAsia="微软雅黑" w:cs="微软雅黑"/>
          <w:color w:val="000000" w:themeColor="text1"/>
          <w:kern w:val="0"/>
          <w:sz w:val="24"/>
          <w:szCs w:val="24"/>
          <w:lang w:eastAsia="zh-CN" w:bidi="ar"/>
          <w14:textFill>
            <w14:solidFill>
              <w14:schemeClr w14:val="tx1"/>
            </w14:solidFill>
          </w14:textFill>
        </w:rPr>
        <w:t>蚌埠</w:t>
      </w:r>
      <w:r>
        <w:rPr>
          <w:rFonts w:hint="eastAsia" w:ascii="微软雅黑" w:hAnsi="微软雅黑" w:eastAsia="微软雅黑" w:cs="微软雅黑"/>
          <w:color w:val="000000" w:themeColor="text1"/>
          <w:kern w:val="0"/>
          <w:sz w:val="24"/>
          <w:szCs w:val="24"/>
          <w:lang w:bidi="ar"/>
          <w14:textFill>
            <w14:solidFill>
              <w14:schemeClr w14:val="tx1"/>
            </w14:solidFill>
          </w14:textFill>
        </w:rPr>
        <w:t>仲裁委员会送达文书的；</w:t>
      </w:r>
    </w:p>
    <w:p w14:paraId="78A7CF96">
      <w:pPr>
        <w:tabs>
          <w:tab w:val="left" w:pos="0"/>
          <w:tab w:val="left" w:pos="2800"/>
        </w:tabs>
        <w:spacing w:line="360" w:lineRule="auto"/>
        <w:ind w:firstLine="480" w:firstLineChars="200"/>
        <w:rPr>
          <w:rFonts w:hint="eastAsia" w:ascii="微软雅黑" w:hAnsi="微软雅黑" w:eastAsia="微软雅黑" w:cs="微软雅黑"/>
          <w:bCs/>
          <w:color w:val="000000" w:themeColor="text1"/>
          <w:sz w:val="24"/>
          <w:szCs w:val="24"/>
          <w:u w:val="single"/>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因接收方过错造成无法正常送达的其他行为。</w:t>
      </w:r>
    </w:p>
    <w:p w14:paraId="58D3B629">
      <w:pPr>
        <w:tabs>
          <w:tab w:val="left" w:pos="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4D0028B9">
      <w:pPr>
        <w:tabs>
          <w:tab w:val="left" w:pos="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（以下无正文）</w:t>
      </w:r>
    </w:p>
    <w:p w14:paraId="1A271547">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p>
    <w:p w14:paraId="686816F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甲方</w:t>
      </w:r>
      <w:r>
        <w:rPr>
          <w:rFonts w:hint="eastAsia" w:ascii="微软雅黑" w:hAnsi="微软雅黑" w:eastAsia="微软雅黑" w:cs="微软雅黑"/>
          <w:color w:val="000000" w:themeColor="text1"/>
          <w:sz w:val="24"/>
          <w:szCs w:val="24"/>
          <w14:textFill>
            <w14:solidFill>
              <w14:schemeClr w14:val="tx1"/>
            </w14:solidFill>
          </w14:textFill>
        </w:rPr>
        <w:t>（盖章）：</w:t>
      </w:r>
    </w:p>
    <w:p w14:paraId="7C46CBB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4302033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3F427028">
      <w:pPr>
        <w:tabs>
          <w:tab w:val="left" w:pos="72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72D58F30">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p>
    <w:p w14:paraId="05E30A6B">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乙方（盖章）：</w:t>
      </w:r>
    </w:p>
    <w:p w14:paraId="7213669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6D537FC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3759D5BA">
      <w:pPr>
        <w:tabs>
          <w:tab w:val="left" w:pos="72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0C6911B9">
      <w:pPr>
        <w:tabs>
          <w:tab w:val="left" w:pos="72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35D98ED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签订时间：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w:t>
      </w:r>
    </w:p>
    <w:p w14:paraId="7648D2F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签订地点：</w:t>
      </w:r>
    </w:p>
    <w:p w14:paraId="62D37021">
      <w:pPr>
        <w:spacing w:line="360" w:lineRule="auto"/>
        <w:ind w:firstLine="480" w:firstLineChars="200"/>
        <w:rPr>
          <w:rFonts w:hint="eastAsia" w:ascii="微软雅黑" w:hAnsi="微软雅黑" w:eastAsia="微软雅黑" w:cs="微软雅黑"/>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E9C7A4">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D77CE2">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4D77CE2">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zYWQxZTcyYjdjYTgxNDFiOGQ4OWQxNTczZDJmZWQifQ=="/>
  </w:docVars>
  <w:rsids>
    <w:rsidRoot w:val="774430A0"/>
    <w:rsid w:val="005C37F4"/>
    <w:rsid w:val="009C0B17"/>
    <w:rsid w:val="00BB39A5"/>
    <w:rsid w:val="1C200DEC"/>
    <w:rsid w:val="3B911029"/>
    <w:rsid w:val="451A0CF1"/>
    <w:rsid w:val="5E3E6598"/>
    <w:rsid w:val="774430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等线"/>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link w:val="10"/>
    <w:semiHidden/>
    <w:unhideWhenUsed/>
    <w:qFormat/>
    <w:uiPriority w:val="0"/>
    <w:pPr>
      <w:keepNext/>
      <w:keepLines/>
      <w:spacing w:before="260" w:after="260" w:line="415" w:lineRule="auto"/>
      <w:jc w:val="center"/>
      <w:outlineLvl w:val="2"/>
    </w:pPr>
    <w:rPr>
      <w:rFonts w:hint="eastAsia" w:ascii="等线" w:hAnsi="等线" w:eastAsia="宋体" w:cs="Times New Roman"/>
      <w:b/>
      <w:bCs/>
      <w:sz w:val="32"/>
      <w:szCs w:val="32"/>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qFormat/>
    <w:uiPriority w:val="0"/>
    <w:pPr>
      <w:tabs>
        <w:tab w:val="center" w:pos="4153"/>
        <w:tab w:val="right" w:pos="8306"/>
      </w:tabs>
      <w:snapToGrid w:val="0"/>
      <w:jc w:val="left"/>
    </w:pPr>
    <w:rPr>
      <w:sz w:val="18"/>
    </w:rPr>
  </w:style>
  <w:style w:type="paragraph" w:styleId="4">
    <w:name w:val="header"/>
    <w:basedOn w:val="1"/>
    <w:link w:val="1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widowControl/>
      <w:spacing w:before="100" w:beforeAutospacing="1" w:after="100" w:afterAutospacing="1" w:line="336" w:lineRule="auto"/>
      <w:jc w:val="left"/>
    </w:pPr>
    <w:rPr>
      <w:rFonts w:ascii="宋体" w:hAnsi="宋体" w:cs="宋体"/>
      <w:kern w:val="0"/>
      <w:sz w:val="24"/>
    </w:rPr>
  </w:style>
  <w:style w:type="table" w:styleId="7">
    <w:name w:val="Table Grid"/>
    <w:basedOn w:val="6"/>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customStyle="1" w:styleId="9">
    <w:name w:val="页脚 字符"/>
    <w:basedOn w:val="8"/>
    <w:link w:val="3"/>
    <w:qFormat/>
    <w:uiPriority w:val="0"/>
    <w:rPr>
      <w:sz w:val="18"/>
      <w:szCs w:val="18"/>
    </w:rPr>
  </w:style>
  <w:style w:type="character" w:customStyle="1" w:styleId="10">
    <w:name w:val="标题 3 字符"/>
    <w:basedOn w:val="8"/>
    <w:link w:val="2"/>
    <w:qFormat/>
    <w:uiPriority w:val="0"/>
    <w:rPr>
      <w:rFonts w:hint="eastAsia" w:ascii="宋体" w:hAnsi="宋体" w:eastAsia="宋体" w:cs="宋体"/>
      <w:b/>
      <w:bCs/>
      <w:sz w:val="32"/>
      <w:szCs w:val="32"/>
    </w:rPr>
  </w:style>
  <w:style w:type="character" w:customStyle="1" w:styleId="11">
    <w:name w:val="页眉 字符"/>
    <w:basedOn w:val="8"/>
    <w:link w:val="4"/>
    <w:qFormat/>
    <w:uiPriority w:val="0"/>
    <w:rPr>
      <w:sz w:val="18"/>
      <w:szCs w:val="18"/>
    </w:rPr>
  </w:style>
  <w:style w:type="character" w:customStyle="1" w:styleId="12">
    <w:name w:val="页眉 字符1"/>
    <w:basedOn w:val="8"/>
    <w:qFormat/>
    <w:uiPriority w:val="0"/>
    <w:rPr>
      <w:sz w:val="18"/>
      <w:szCs w:val="18"/>
    </w:rPr>
  </w:style>
  <w:style w:type="character" w:customStyle="1" w:styleId="13">
    <w:name w:val="页脚 字符1"/>
    <w:basedOn w:val="8"/>
    <w:qFormat/>
    <w:uiPriority w:val="0"/>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2718</Words>
  <Characters>2743</Characters>
  <Lines>18</Lines>
  <Paragraphs>5</Paragraphs>
  <TotalTime>1</TotalTime>
  <ScaleCrop>false</ScaleCrop>
  <LinksUpToDate>false</LinksUpToDate>
  <CharactersWithSpaces>3073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2023-07-25T06:18:00Z</dcterms:created>
  <dc:creator>差不多先生</dc:creator>
  <cp:lastModifiedBy>豪</cp:lastModifiedBy>
  <dcterms:modified xsi:type="dcterms:W3CDTF">2026-03-22T07:27:24Z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21B92CB6014F43B2891DD93A1BF9260C_11</vt:lpwstr>
  </property>
  <property fmtid="{D5CDD505-2E9C-101B-9397-08002B2CF9AE}" pid="4" name="KSOTemplateDocerSaveRecord">
    <vt:lpwstr>eyJoZGlkIjoiNTg0MzMyNGJiMDEzODc5ODNlMGVjODViOWRkZjg1MDgiLCJ1c2VySWQiOiIxMjc2Mzc3NjgxIn0=</vt:lpwstr>
  </property>
</Properties>
</file>