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3A283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60" w:afterAutospacing="0"/>
        <w:ind w:left="0" w:right="0" w:firstLine="720" w:firstLineChars="200"/>
        <w:jc w:val="center"/>
        <w:textAlignment w:val="auto"/>
        <w:rPr>
          <w:rFonts w:hint="eastAsia" w:ascii="微软雅黑" w:hAnsi="微软雅黑" w:eastAsia="微软雅黑" w:cs="微软雅黑"/>
          <w:b w:val="0"/>
          <w:i w:val="0"/>
          <w:caps w:val="0"/>
          <w:color w:val="47599E"/>
          <w:spacing w:val="0"/>
          <w:sz w:val="36"/>
          <w:szCs w:val="36"/>
        </w:rPr>
      </w:pPr>
      <w:bookmarkStart w:id="0" w:name="_GoBack"/>
      <w:r>
        <w:rPr>
          <w:rFonts w:hint="eastAsia" w:ascii="微软雅黑" w:hAnsi="微软雅黑" w:eastAsia="微软雅黑" w:cs="微软雅黑"/>
          <w:b/>
          <w:i w:val="0"/>
          <w:caps w:val="0"/>
          <w:color w:val="000000"/>
          <w:spacing w:val="0"/>
          <w:sz w:val="36"/>
          <w:szCs w:val="36"/>
          <w:shd w:val="clear" w:fill="FFFFFF"/>
        </w:rPr>
        <w:t>冷藏运输合同</w:t>
      </w:r>
    </w:p>
    <w:bookmarkEnd w:id="0"/>
    <w:p w14:paraId="2C019D0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托</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运</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方：</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0A29A7D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住所：</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1A22F4A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邮码：</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7F41968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电话：</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648DE87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法定代表人：</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1DA53C8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职务：</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59A5CE8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承</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运</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方：</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420CB4A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住所：</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3D841D4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邮码：</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369DCDD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电话：</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1ED25B5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法定代表人：</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600949E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职务：</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369D81C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根据国家有关运输规定，经过双方充分协商，特订立本合同，以便双方共同遵守。</w:t>
      </w:r>
    </w:p>
    <w:p w14:paraId="73FC059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第一条</w:t>
      </w:r>
      <w:r>
        <w:rPr>
          <w:rFonts w:hint="eastAsia" w:ascii="微软雅黑" w:hAnsi="微软雅黑" w:eastAsia="微软雅黑" w:cs="微软雅黑"/>
          <w:i w:val="0"/>
          <w:caps w:val="0"/>
          <w:color w:val="000000"/>
          <w:spacing w:val="0"/>
          <w:sz w:val="24"/>
          <w:szCs w:val="24"/>
          <w:shd w:val="clear" w:fill="FFFFFF"/>
          <w:lang w:eastAsia="zh-CN"/>
        </w:rPr>
        <w:t xml:space="preserve"> </w:t>
      </w:r>
      <w:r>
        <w:rPr>
          <w:rFonts w:hint="eastAsia" w:ascii="微软雅黑" w:hAnsi="微软雅黑" w:eastAsia="微软雅黑" w:cs="微软雅黑"/>
          <w:b/>
          <w:i w:val="0"/>
          <w:caps w:val="0"/>
          <w:color w:val="000000"/>
          <w:spacing w:val="0"/>
          <w:sz w:val="24"/>
          <w:szCs w:val="24"/>
          <w:shd w:val="clear" w:fill="FFFFFF"/>
        </w:rPr>
        <w:t>货物名称、规格、数量、价款</w:t>
      </w:r>
    </w:p>
    <w:p w14:paraId="343FE61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货物名称：</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3DB64DF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规格：</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2DE8B3E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数量：</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4360EEB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价款：</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432C247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第二条</w:t>
      </w:r>
      <w:r>
        <w:rPr>
          <w:rFonts w:hint="eastAsia" w:ascii="微软雅黑" w:hAnsi="微软雅黑" w:eastAsia="微软雅黑" w:cs="微软雅黑"/>
          <w:b/>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包装要求</w:t>
      </w:r>
    </w:p>
    <w:p w14:paraId="6618095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托运方必须按照国家主管机关规定的标准包装；没有统一规定包装标准的，应根据保证货物运输安全的原则进行包装，否则承运方有权拒绝承运。</w:t>
      </w:r>
    </w:p>
    <w:p w14:paraId="1F2D33A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第三条</w:t>
      </w:r>
      <w:r>
        <w:rPr>
          <w:rFonts w:hint="eastAsia" w:ascii="微软雅黑" w:hAnsi="微软雅黑" w:eastAsia="微软雅黑" w:cs="微软雅黑"/>
          <w:b/>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运输地点</w:t>
      </w:r>
    </w:p>
    <w:p w14:paraId="4250329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货物起运地点：</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2AB819B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货物到达地点：</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6C4ABEC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第四条</w:t>
      </w:r>
      <w:r>
        <w:rPr>
          <w:rFonts w:hint="eastAsia" w:ascii="微软雅黑" w:hAnsi="微软雅黑" w:eastAsia="微软雅黑" w:cs="微软雅黑"/>
          <w:b/>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运输日期</w:t>
      </w:r>
    </w:p>
    <w:p w14:paraId="4ED8EA7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货物承运日期：</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年</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月</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日</w:t>
      </w:r>
    </w:p>
    <w:p w14:paraId="34D4815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货物运到期限：</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年</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月</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日</w:t>
      </w:r>
    </w:p>
    <w:p w14:paraId="17FE7CD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第五条</w:t>
      </w:r>
      <w:r>
        <w:rPr>
          <w:rFonts w:hint="eastAsia" w:ascii="微软雅黑" w:hAnsi="微软雅黑" w:eastAsia="微软雅黑" w:cs="微软雅黑"/>
          <w:b/>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运输质量及安全要求</w:t>
      </w:r>
    </w:p>
    <w:p w14:paraId="0F403DE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第六条</w:t>
      </w:r>
      <w:r>
        <w:rPr>
          <w:rFonts w:hint="eastAsia" w:ascii="微软雅黑" w:hAnsi="微软雅黑" w:eastAsia="微软雅黑" w:cs="微软雅黑"/>
          <w:b/>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货物装卸责任和方法</w:t>
      </w:r>
    </w:p>
    <w:p w14:paraId="53404CC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第七条</w:t>
      </w:r>
      <w:r>
        <w:rPr>
          <w:rFonts w:hint="eastAsia" w:ascii="微软雅黑" w:hAnsi="微软雅黑" w:eastAsia="微软雅黑" w:cs="微软雅黑"/>
          <w:b/>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收货人领取货物及验收办法</w:t>
      </w:r>
    </w:p>
    <w:p w14:paraId="31655AC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第八条</w:t>
      </w:r>
      <w:r>
        <w:rPr>
          <w:rFonts w:hint="eastAsia" w:ascii="微软雅黑" w:hAnsi="微软雅黑" w:eastAsia="微软雅黑" w:cs="微软雅黑"/>
          <w:b/>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运输费用、结算方式</w:t>
      </w:r>
    </w:p>
    <w:p w14:paraId="668A4DF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运输费用（人民币）:（大写）</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（小写）</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3D0709A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结算方法：</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019D971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第九条</w:t>
      </w:r>
      <w:r>
        <w:rPr>
          <w:rFonts w:hint="eastAsia" w:ascii="微软雅黑" w:hAnsi="微软雅黑" w:eastAsia="微软雅黑" w:cs="微软雅黑"/>
          <w:b/>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各方的权利义务</w:t>
      </w:r>
    </w:p>
    <w:p w14:paraId="10F8B85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一、托运方的权利义务</w:t>
      </w:r>
    </w:p>
    <w:p w14:paraId="6053F10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托运方的权利：要求承运方按照合同规定的时间、地点、把货物运输到目的地。货物托运后，托运方需要变更到货地点或收货人，或者取消托运时，有权向承运方提出变更合同的内容或解除合同的要求。但必须在货物未运到目的地之前通知承运方，并应按有关规定付给承运方所需费用。</w:t>
      </w:r>
    </w:p>
    <w:p w14:paraId="33F2D3A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托运方的义务：按约定向承运方交付运杂费。否则，承运方有权停止运输，并要求对方支付违约金。托运方对托运的货物，应按照规定的标准进行包装，遵守有关危险品运输的规定，按照合同中规定的时间和数量交付托运货物。</w:t>
      </w:r>
    </w:p>
    <w:p w14:paraId="2F114E4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二、承运方的权利义务</w:t>
      </w:r>
    </w:p>
    <w:p w14:paraId="789E8F5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承运方的权利：向托运方、收货方收取运杂费用。如果收货方不交或不按时交纳规定的各种运杂费用，承运方对其货物有扣压权。查不到收货人或收货人拒绝提取货物，承运方应及时与托运方联系，在规定期限内负责保管并有权收取保管费用，对于超过规定期限仍无法交付的货物，承运方有权按有关规定予以处理。</w:t>
      </w:r>
    </w:p>
    <w:p w14:paraId="5C8E425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承运方的义务：在合同规定的期限内，将货物运到指定的地点，按时向收货人发出货物到达的通知。对托运的货物要负责安全，保证货物无短缺，无损坏，无人为的变质，如有上述问题，应承担赔偿义务。在货物到达以后，按规定的期限，负责保管。</w:t>
      </w:r>
    </w:p>
    <w:p w14:paraId="3B4EAB5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三、收货人的权利义务</w:t>
      </w:r>
    </w:p>
    <w:p w14:paraId="5380344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1.收货人的权利：在货物运到指定地点后有以凭证领取货物的权利。必要时，收货人有权向到站，或中途货物所在站提出变更到站或变更收货人的要求，签订变更协议。</w:t>
      </w:r>
    </w:p>
    <w:p w14:paraId="36FD5BA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2.收货人的义务：在接到提货通知后，按时提取货物，缴清应付费用。超过规定提货时，应向承运人交付保管费。</w:t>
      </w:r>
    </w:p>
    <w:p w14:paraId="5223EDD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第十条</w:t>
      </w:r>
      <w:r>
        <w:rPr>
          <w:rFonts w:hint="eastAsia" w:ascii="微软雅黑" w:hAnsi="微软雅黑" w:eastAsia="微软雅黑" w:cs="微软雅黑"/>
          <w:b/>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违约责任</w:t>
      </w:r>
    </w:p>
    <w:p w14:paraId="2D3A2B5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一、托运方责任</w:t>
      </w:r>
    </w:p>
    <w:p w14:paraId="44A5B75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1.未按合同规定的时间和要求提供托运的货物，托运方应按其价值的____%偿付给承运方违约金。</w:t>
      </w:r>
    </w:p>
    <w:p w14:paraId="53851FD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2.由于在普通货物中夹带、匿报危险货物，错报笨重货物重量等招致吊具断裂、货物摔损、吊机倾翻、爆炸、</w:t>
      </w:r>
      <w:r>
        <w:rPr>
          <w:rFonts w:hint="eastAsia" w:ascii="微软雅黑" w:hAnsi="微软雅黑" w:eastAsia="微软雅黑" w:cs="微软雅黑"/>
          <w:i w:val="0"/>
          <w:caps w:val="0"/>
          <w:color w:val="000000"/>
          <w:spacing w:val="0"/>
          <w:kern w:val="0"/>
          <w:sz w:val="24"/>
          <w:szCs w:val="24"/>
          <w:shd w:val="clear" w:fill="FFFFFF"/>
          <w:lang w:val="en-US" w:eastAsia="zh-CN" w:bidi="ar"/>
        </w:rPr>
        <w:t>腐蚀</w:t>
      </w:r>
      <w:r>
        <w:rPr>
          <w:rFonts w:hint="eastAsia" w:ascii="微软雅黑" w:hAnsi="微软雅黑" w:eastAsia="微软雅黑" w:cs="微软雅黑"/>
          <w:i w:val="0"/>
          <w:caps w:val="0"/>
          <w:color w:val="000000"/>
          <w:spacing w:val="0"/>
          <w:kern w:val="0"/>
          <w:sz w:val="24"/>
          <w:szCs w:val="24"/>
          <w:shd w:val="clear" w:fill="FFFFFF"/>
          <w:lang w:val="en-US" w:eastAsia="zh-CN" w:bidi="ar"/>
        </w:rPr>
        <w:t>等事故，托运方应承担赔偿责任。</w:t>
      </w:r>
    </w:p>
    <w:p w14:paraId="39DC570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3.由于货物包装缺陷产生破损，致使其他货物或运输工具、机械设备被污染腐蚀、损坏，造</w:t>
      </w:r>
      <w:r>
        <w:rPr>
          <w:rFonts w:hint="eastAsia" w:ascii="微软雅黑" w:hAnsi="微软雅黑" w:eastAsia="微软雅黑" w:cs="微软雅黑"/>
          <w:i w:val="0"/>
          <w:caps w:val="0"/>
          <w:color w:val="000000"/>
          <w:spacing w:val="0"/>
          <w:kern w:val="0"/>
          <w:sz w:val="24"/>
          <w:szCs w:val="24"/>
          <w:shd w:val="clear" w:fill="FFFFFF"/>
          <w:lang w:val="en-US" w:eastAsia="zh-CN" w:bidi="ar"/>
        </w:rPr>
        <w:t>成</w:t>
      </w:r>
      <w:r>
        <w:rPr>
          <w:rFonts w:hint="eastAsia" w:ascii="微软雅黑" w:hAnsi="微软雅黑" w:eastAsia="微软雅黑" w:cs="微软雅黑"/>
          <w:i w:val="0"/>
          <w:caps w:val="0"/>
          <w:color w:val="000000"/>
          <w:spacing w:val="0"/>
          <w:kern w:val="0"/>
          <w:sz w:val="24"/>
          <w:szCs w:val="24"/>
          <w:shd w:val="clear" w:fill="FFFFFF"/>
          <w:lang w:val="en-US" w:eastAsia="zh-CN" w:bidi="ar"/>
        </w:rPr>
        <w:t>伤亡的，托运方应承担赔偿责任。</w:t>
      </w:r>
    </w:p>
    <w:p w14:paraId="5B531EC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4.在托运方专用线或在港、站公用线、专用线自装的货物，在到站卸货时，发现货物损坏、缺少，在车辆施封完好或无异状的情况下，托运方应赔偿收货人的损失。</w:t>
      </w:r>
    </w:p>
    <w:p w14:paraId="4B429C7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5.罐车发运货物，因未随车附带规格质量证明或化验报告，造成收货方无法卸货时，托运方应偿付承运方卸车等存费及违约金。</w:t>
      </w:r>
    </w:p>
    <w:p w14:paraId="1D05E52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二、承运方责任</w:t>
      </w:r>
    </w:p>
    <w:p w14:paraId="6499378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1.不按合同规定的时间和要求配车、发运的，承运方应偿付甲方违约金____元。</w:t>
      </w:r>
    </w:p>
    <w:p w14:paraId="0D91F13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2、承运方如将货物错运到货地点或接货人，应无偿运至合同规定的到货地点或接货人。如果货物逾期</w:t>
      </w:r>
      <w:r>
        <w:rPr>
          <w:rFonts w:hint="eastAsia" w:ascii="微软雅黑" w:hAnsi="微软雅黑" w:eastAsia="微软雅黑" w:cs="微软雅黑"/>
          <w:i w:val="0"/>
          <w:caps w:val="0"/>
          <w:color w:val="000000"/>
          <w:spacing w:val="0"/>
          <w:kern w:val="0"/>
          <w:sz w:val="24"/>
          <w:szCs w:val="24"/>
          <w:shd w:val="clear" w:fill="FFFFFF"/>
          <w:lang w:val="en-US" w:eastAsia="zh-CN" w:bidi="ar"/>
        </w:rPr>
        <w:t>到货</w:t>
      </w:r>
      <w:r>
        <w:rPr>
          <w:rFonts w:hint="eastAsia" w:ascii="微软雅黑" w:hAnsi="微软雅黑" w:eastAsia="微软雅黑" w:cs="微软雅黑"/>
          <w:i w:val="0"/>
          <w:caps w:val="0"/>
          <w:color w:val="000000"/>
          <w:spacing w:val="0"/>
          <w:kern w:val="0"/>
          <w:sz w:val="24"/>
          <w:szCs w:val="24"/>
          <w:shd w:val="clear" w:fill="FFFFFF"/>
          <w:lang w:val="en-US" w:eastAsia="zh-CN" w:bidi="ar"/>
        </w:rPr>
        <w:t>、承运方应偿付逾期交货的违约金。</w:t>
      </w:r>
    </w:p>
    <w:p w14:paraId="73A3F52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3.运输过程中货物灭失、短少、变质、污染、损坏，承运方应按货物的实际损失(包括包装费、运杂费)赔偿托运方。</w:t>
      </w:r>
    </w:p>
    <w:p w14:paraId="2E033BE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4.联运的货物发生灭失、短少、变质、污染、损坏，应由承运方承担赔偿责任的，由终点阶段的承运方向负有责任的其他承运方追偿。</w:t>
      </w:r>
    </w:p>
    <w:p w14:paraId="186B882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5.在符合法律和合同规定条件下的运输，由于下列原因造成货物灭失、短少、变质、污染、损坏的，承运方不承担违约责任：</w:t>
      </w:r>
    </w:p>
    <w:p w14:paraId="60A321C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①不可抗力;</w:t>
      </w:r>
    </w:p>
    <w:p w14:paraId="764F43D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②货物本身的自然属性;</w:t>
      </w:r>
    </w:p>
    <w:p w14:paraId="2B5071B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③货物的合理损耗;</w:t>
      </w:r>
    </w:p>
    <w:p w14:paraId="65A738C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④托运方或收货方本身的过错。</w:t>
      </w:r>
    </w:p>
    <w:p w14:paraId="3DF7192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第十一条</w:t>
      </w:r>
      <w:r>
        <w:rPr>
          <w:rFonts w:hint="eastAsia" w:ascii="微软雅黑" w:hAnsi="微软雅黑" w:eastAsia="微软雅黑" w:cs="微软雅黑"/>
          <w:b/>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争议解决方式</w:t>
      </w:r>
    </w:p>
    <w:p w14:paraId="228C274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凡因本合同引起的或与本合同有关的任何争议，均提交</w:t>
      </w:r>
      <w:r>
        <w:rPr>
          <w:rFonts w:hint="eastAsia" w:ascii="微软雅黑" w:hAnsi="微软雅黑" w:eastAsia="微软雅黑" w:cs="微软雅黑"/>
          <w:i w:val="0"/>
          <w:caps w:val="0"/>
          <w:color w:val="000000"/>
          <w:spacing w:val="0"/>
          <w:kern w:val="0"/>
          <w:sz w:val="24"/>
          <w:szCs w:val="24"/>
          <w:shd w:val="clear" w:fill="FFFFFF"/>
          <w:lang w:val="en-US" w:eastAsia="zh-CN" w:bidi="ar"/>
        </w:rPr>
        <w:t>蚌埠</w:t>
      </w:r>
      <w:r>
        <w:rPr>
          <w:rFonts w:hint="eastAsia" w:ascii="微软雅黑" w:hAnsi="微软雅黑" w:eastAsia="微软雅黑" w:cs="微软雅黑"/>
          <w:i w:val="0"/>
          <w:caps w:val="0"/>
          <w:color w:val="000000"/>
          <w:spacing w:val="0"/>
          <w:kern w:val="0"/>
          <w:sz w:val="24"/>
          <w:szCs w:val="24"/>
          <w:shd w:val="clear" w:fill="FFFFFF"/>
          <w:lang w:val="en-US" w:eastAsia="zh-CN" w:bidi="ar"/>
        </w:rPr>
        <w:t>仲裁委员会，按照该会的仲裁规则进行仲裁。仲裁裁决是终局的，对双方均有约束力。</w:t>
      </w:r>
    </w:p>
    <w:p w14:paraId="35696A8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i w:val="0"/>
          <w:caps w:val="0"/>
          <w:color w:val="000000"/>
          <w:spacing w:val="0"/>
          <w:kern w:val="0"/>
          <w:sz w:val="24"/>
          <w:szCs w:val="24"/>
          <w:shd w:val="clear" w:fill="FFFFFF"/>
          <w:lang w:val="en-US" w:eastAsia="zh-CN" w:bidi="ar"/>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第十二条</w:t>
      </w:r>
      <w:r>
        <w:rPr>
          <w:rFonts w:hint="eastAsia" w:ascii="微软雅黑" w:hAnsi="微软雅黑" w:eastAsia="微软雅黑" w:cs="微软雅黑"/>
          <w:b/>
          <w:i w:val="0"/>
          <w:caps w:val="0"/>
          <w:color w:val="000000"/>
          <w:spacing w:val="0"/>
          <w:kern w:val="0"/>
          <w:sz w:val="24"/>
          <w:szCs w:val="24"/>
          <w:shd w:val="clear" w:fill="FFFFFF"/>
          <w:lang w:val="en-US" w:eastAsia="zh-CN" w:bidi="ar"/>
        </w:rPr>
        <w:t xml:space="preserve"> 送达地址以及送达条款</w:t>
      </w:r>
    </w:p>
    <w:p w14:paraId="4DAD1A2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1.送达地址以及方式</w:t>
      </w:r>
    </w:p>
    <w:p w14:paraId="3FA8454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送达地址</w:t>
      </w:r>
    </w:p>
    <w:p w14:paraId="2BBBD26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甲方确认送达地址如下：</w:t>
      </w:r>
    </w:p>
    <w:p w14:paraId="7B5884D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地址：    省    市    区/县    路    号，</w:t>
      </w:r>
    </w:p>
    <w:p w14:paraId="0136F14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邮编：            ，</w:t>
      </w:r>
    </w:p>
    <w:p w14:paraId="1B0D422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联系人：      ，</w:t>
      </w:r>
    </w:p>
    <w:p w14:paraId="562BB24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联系电话：      -            。</w:t>
      </w:r>
    </w:p>
    <w:p w14:paraId="15F4516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甲方电子送达方式如下：</w:t>
      </w:r>
    </w:p>
    <w:p w14:paraId="48C11CD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 xml:space="preserve">手机短信：                  </w:t>
      </w:r>
    </w:p>
    <w:p w14:paraId="6210684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 xml:space="preserve">传真：      -            </w:t>
      </w:r>
    </w:p>
    <w:p w14:paraId="4840FFD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 xml:space="preserve">即时通讯账号（微信号）：                  </w:t>
      </w:r>
    </w:p>
    <w:p w14:paraId="3A09B1E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电子邮箱：            。</w:t>
      </w:r>
    </w:p>
    <w:p w14:paraId="15FF99E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p>
    <w:p w14:paraId="4871C05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乙方确认送达地址如下：</w:t>
      </w:r>
    </w:p>
    <w:p w14:paraId="75415EA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地址：    省    市    区/县    路    号，</w:t>
      </w:r>
    </w:p>
    <w:p w14:paraId="311BF38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邮编：            ，</w:t>
      </w:r>
    </w:p>
    <w:p w14:paraId="6CF23C2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联系人：      ，</w:t>
      </w:r>
    </w:p>
    <w:p w14:paraId="1D7498D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联系电话：      -            。</w:t>
      </w:r>
    </w:p>
    <w:p w14:paraId="6D9AE84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乙方电子送达方式如下：</w:t>
      </w:r>
    </w:p>
    <w:p w14:paraId="7C27FDE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 xml:space="preserve">手机短信：                  </w:t>
      </w:r>
    </w:p>
    <w:p w14:paraId="1CBE47C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 xml:space="preserve">传真：      -            </w:t>
      </w:r>
    </w:p>
    <w:p w14:paraId="68AC281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 xml:space="preserve">即时通讯账号（微信号）：                  </w:t>
      </w:r>
    </w:p>
    <w:p w14:paraId="16A69D0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电子邮箱：</w:t>
      </w:r>
    </w:p>
    <w:p w14:paraId="51716B0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送达方式</w:t>
      </w:r>
    </w:p>
    <w:p w14:paraId="0C3C50D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 xml:space="preserve"> 双方同意，本合同项下的通知、函件、诉讼文书等文件，以下列方式送达对方：</w:t>
      </w:r>
    </w:p>
    <w:p w14:paraId="46AE702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直接送达：将文件送至对方指定的送达地址，视为已送达；</w:t>
      </w:r>
    </w:p>
    <w:p w14:paraId="205D5AD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邮寄送达：将文件通过挂号信、特快专递等方式寄至对方指定的送达地址，以邮戳日期为准，视为已送达；</w:t>
      </w:r>
    </w:p>
    <w:p w14:paraId="37156A8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电子送达：将文件通过电子邮件、短信、微信等方式发送至对方指定的电子邮箱、手机号码等，发送成功即视为已送达。</w:t>
      </w:r>
    </w:p>
    <w:p w14:paraId="43A5704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2.送达条款</w:t>
      </w:r>
    </w:p>
    <w:p w14:paraId="0A0237E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本送达条款适用于合同履行期间及合同纠纷解决过程中的所有文件送达。</w:t>
      </w:r>
    </w:p>
    <w:p w14:paraId="6B8C52E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4B738A7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双方在合同履行过程中由双方共同明示或默示确认的合同约定外的送达地址和联系方式不影响送达效力。</w:t>
      </w:r>
    </w:p>
    <w:p w14:paraId="0473C2E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双方认同电子送达效力，合同履行过程中或法院、仲裁委员会按照法律或适时有效的仲裁规则需要进行电子送达的，内容自进入双方接收系统之日起，视为送达成功。</w:t>
      </w:r>
    </w:p>
    <w:p w14:paraId="2BA2797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双方应当保证本合同约定送达地址以及联系方式为有效地址及联系方式。一方变更送达信息的，应在变更后一日内通知对方，未及时通知的，发送方按照原约定方式送达，视为送达成功。</w:t>
      </w:r>
    </w:p>
    <w:p w14:paraId="16982E7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双方发生争议，关于裁判机构的送达文书，接收方存在以下行为之一的，蚌埠仲裁委员会有权依据法律和适时有效的仲裁规则规定进行送达，法律与仲裁规则规定程序完成之日，视为送达成功：</w:t>
      </w:r>
    </w:p>
    <w:p w14:paraId="3CC97DD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擅自变更送达地址及信息且未及时通知对方的；</w:t>
      </w:r>
    </w:p>
    <w:p w14:paraId="6B6DE9F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送达地址与信息同工商登记信息不一致且未及时更改的；</w:t>
      </w:r>
    </w:p>
    <w:p w14:paraId="4B1E701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故意不接收蚌埠仲裁委员会送达文书的；</w:t>
      </w:r>
    </w:p>
    <w:p w14:paraId="343DA3E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848484"/>
          <w:spacing w:val="0"/>
          <w:sz w:val="24"/>
          <w:szCs w:val="24"/>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因接收方过错造成无法正常送达的其他行为。</w:t>
      </w:r>
    </w:p>
    <w:p w14:paraId="7F66D90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本合同</w:t>
      </w:r>
      <w:r>
        <w:rPr>
          <w:rFonts w:hint="eastAsia" w:ascii="微软雅黑" w:hAnsi="微软雅黑" w:eastAsia="微软雅黑" w:cs="微软雅黑"/>
          <w:i w:val="0"/>
          <w:caps w:val="0"/>
          <w:color w:val="000000"/>
          <w:spacing w:val="0"/>
          <w:kern w:val="0"/>
          <w:sz w:val="24"/>
          <w:szCs w:val="24"/>
          <w:shd w:val="clear" w:fill="FFFFFF"/>
          <w:lang w:val="en-US" w:eastAsia="zh-CN" w:bidi="ar"/>
        </w:rPr>
        <w:t>正本一式两份</w:t>
      </w:r>
      <w:r>
        <w:rPr>
          <w:rFonts w:hint="eastAsia" w:ascii="微软雅黑" w:hAnsi="微软雅黑" w:eastAsia="微软雅黑" w:cs="微软雅黑"/>
          <w:i w:val="0"/>
          <w:caps w:val="0"/>
          <w:color w:val="000000"/>
          <w:spacing w:val="0"/>
          <w:kern w:val="0"/>
          <w:sz w:val="24"/>
          <w:szCs w:val="24"/>
          <w:shd w:val="clear" w:fill="FFFFFF"/>
          <w:lang w:val="en-US" w:eastAsia="zh-CN" w:bidi="ar"/>
        </w:rPr>
        <w:t>，合同双方各执一份;合同副本一式</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份，</w:t>
      </w:r>
      <w:r>
        <w:rPr>
          <w:rFonts w:hint="eastAsia" w:ascii="微软雅黑" w:hAnsi="微软雅黑" w:eastAsia="微软雅黑" w:cs="微软雅黑"/>
          <w:i w:val="0"/>
          <w:caps w:val="0"/>
          <w:color w:val="000000"/>
          <w:spacing w:val="0"/>
          <w:kern w:val="0"/>
          <w:sz w:val="24"/>
          <w:szCs w:val="24"/>
          <w:u w:val="none"/>
          <w:shd w:val="clear" w:fill="FFFFFF"/>
          <w:lang w:val="en-US" w:eastAsia="zh-CN" w:bidi="ar"/>
        </w:rPr>
        <w:t>送</w:t>
      </w:r>
      <w:r>
        <w:rPr>
          <w:rFonts w:hint="eastAsia" w:ascii="微软雅黑" w:hAnsi="微软雅黑" w:eastAsia="微软雅黑" w:cs="微软雅黑"/>
          <w:i w:val="0"/>
          <w:caps w:val="0"/>
          <w:color w:val="000000"/>
          <w:spacing w:val="0"/>
          <w:kern w:val="0"/>
          <w:sz w:val="24"/>
          <w:szCs w:val="24"/>
          <w:u w:val="none"/>
          <w:shd w:val="clear" w:fill="FFFFFF"/>
          <w:lang w:val="en-US" w:eastAsia="zh-CN" w:bidi="ar"/>
        </w:rPr>
        <w:t>达</w:t>
      </w:r>
      <w:r>
        <w:rPr>
          <w:rFonts w:hint="eastAsia" w:ascii="微软雅黑" w:hAnsi="微软雅黑" w:eastAsia="微软雅黑" w:cs="微软雅黑"/>
          <w:i w:val="0"/>
          <w:caps w:val="0"/>
          <w:color w:val="000000"/>
          <w:spacing w:val="0"/>
          <w:kern w:val="0"/>
          <w:sz w:val="24"/>
          <w:szCs w:val="24"/>
          <w:shd w:val="clear" w:fill="FFFFFF"/>
          <w:lang w:val="en-US" w:eastAsia="zh-CN" w:bidi="ar"/>
        </w:rPr>
        <w:t>单位各留一份。</w:t>
      </w:r>
    </w:p>
    <w:tbl>
      <w:tblPr>
        <w:tblStyle w:val="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3312"/>
        <w:gridCol w:w="3312"/>
      </w:tblGrid>
      <w:tr w14:paraId="0C87BF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3312" w:type="dxa"/>
            <w:tcBorders>
              <w:top w:val="nil"/>
              <w:left w:val="nil"/>
              <w:bottom w:val="nil"/>
              <w:right w:val="nil"/>
            </w:tcBorders>
            <w:shd w:val="clear" w:color="auto" w:fill="FFFFFF"/>
            <w:vAlign w:val="top"/>
          </w:tcPr>
          <w:p w14:paraId="4A19168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托运方（签章）：</w:t>
            </w:r>
          </w:p>
        </w:tc>
        <w:tc>
          <w:tcPr>
            <w:tcW w:w="3312" w:type="dxa"/>
            <w:tcBorders>
              <w:top w:val="nil"/>
              <w:left w:val="nil"/>
              <w:bottom w:val="nil"/>
              <w:right w:val="nil"/>
            </w:tcBorders>
            <w:shd w:val="clear" w:color="auto" w:fill="FFFFFF"/>
            <w:vAlign w:val="top"/>
          </w:tcPr>
          <w:p w14:paraId="6200E9D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承运方（签章）：</w:t>
            </w:r>
          </w:p>
        </w:tc>
      </w:tr>
      <w:tr w14:paraId="70F31F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3312" w:type="dxa"/>
            <w:tcBorders>
              <w:top w:val="nil"/>
              <w:left w:val="nil"/>
              <w:bottom w:val="nil"/>
              <w:right w:val="nil"/>
            </w:tcBorders>
            <w:shd w:val="clear" w:color="auto" w:fill="FFFFFF"/>
            <w:vAlign w:val="top"/>
          </w:tcPr>
          <w:p w14:paraId="24198A5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代表人：</w:t>
            </w:r>
          </w:p>
        </w:tc>
        <w:tc>
          <w:tcPr>
            <w:tcW w:w="3312" w:type="dxa"/>
            <w:tcBorders>
              <w:top w:val="nil"/>
              <w:left w:val="nil"/>
              <w:bottom w:val="nil"/>
              <w:right w:val="nil"/>
            </w:tcBorders>
            <w:shd w:val="clear" w:color="auto" w:fill="FFFFFF"/>
            <w:vAlign w:val="top"/>
          </w:tcPr>
          <w:p w14:paraId="79EA19F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代表人：</w:t>
            </w:r>
          </w:p>
        </w:tc>
      </w:tr>
      <w:tr w14:paraId="2208DA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3312" w:type="dxa"/>
            <w:tcBorders>
              <w:top w:val="nil"/>
              <w:left w:val="nil"/>
              <w:bottom w:val="nil"/>
              <w:right w:val="nil"/>
            </w:tcBorders>
            <w:shd w:val="clear" w:color="auto" w:fill="FFFFFF"/>
            <w:vAlign w:val="top"/>
          </w:tcPr>
          <w:p w14:paraId="46DFBE0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年</w:t>
            </w:r>
            <w:r>
              <w:rPr>
                <w:rFonts w:hint="eastAsia" w:ascii="微软雅黑" w:hAnsi="微软雅黑" w:eastAsia="微软雅黑" w:cs="微软雅黑"/>
                <w:i w:val="0"/>
                <w:caps w:val="0"/>
                <w:color w:val="000000"/>
                <w:spacing w:val="0"/>
                <w:kern w:val="0"/>
                <w:sz w:val="24"/>
                <w:szCs w:val="24"/>
                <w:u w:val="single"/>
                <w:lang w:val="en-US" w:eastAsia="zh-CN" w:bidi="ar"/>
              </w:rPr>
              <w:t xml:space="preserve">    </w:t>
            </w:r>
            <w:r>
              <w:rPr>
                <w:rFonts w:hint="eastAsia" w:ascii="微软雅黑" w:hAnsi="微软雅黑" w:eastAsia="微软雅黑" w:cs="微软雅黑"/>
                <w:i w:val="0"/>
                <w:caps w:val="0"/>
                <w:color w:val="000000"/>
                <w:spacing w:val="0"/>
                <w:kern w:val="0"/>
                <w:sz w:val="24"/>
                <w:szCs w:val="24"/>
                <w:lang w:val="en-US" w:eastAsia="zh-CN" w:bidi="ar"/>
              </w:rPr>
              <w:t>月</w:t>
            </w:r>
            <w:r>
              <w:rPr>
                <w:rFonts w:hint="eastAsia" w:ascii="微软雅黑" w:hAnsi="微软雅黑" w:eastAsia="微软雅黑" w:cs="微软雅黑"/>
                <w:i w:val="0"/>
                <w:caps w:val="0"/>
                <w:color w:val="000000"/>
                <w:spacing w:val="0"/>
                <w:kern w:val="0"/>
                <w:sz w:val="24"/>
                <w:szCs w:val="24"/>
                <w:u w:val="single"/>
                <w:lang w:val="en-US" w:eastAsia="zh-CN" w:bidi="ar"/>
              </w:rPr>
              <w:t xml:space="preserve">    </w:t>
            </w:r>
            <w:r>
              <w:rPr>
                <w:rFonts w:hint="eastAsia" w:ascii="微软雅黑" w:hAnsi="微软雅黑" w:eastAsia="微软雅黑" w:cs="微软雅黑"/>
                <w:i w:val="0"/>
                <w:caps w:val="0"/>
                <w:color w:val="000000"/>
                <w:spacing w:val="0"/>
                <w:kern w:val="0"/>
                <w:sz w:val="24"/>
                <w:szCs w:val="24"/>
                <w:lang w:val="en-US" w:eastAsia="zh-CN" w:bidi="ar"/>
              </w:rPr>
              <w:t>日</w:t>
            </w:r>
          </w:p>
        </w:tc>
        <w:tc>
          <w:tcPr>
            <w:tcW w:w="3312" w:type="dxa"/>
            <w:tcBorders>
              <w:top w:val="nil"/>
              <w:left w:val="nil"/>
              <w:bottom w:val="nil"/>
              <w:right w:val="nil"/>
            </w:tcBorders>
            <w:shd w:val="clear" w:color="auto" w:fill="FFFFFF"/>
            <w:vAlign w:val="top"/>
          </w:tcPr>
          <w:p w14:paraId="20D714F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年</w:t>
            </w:r>
            <w:r>
              <w:rPr>
                <w:rFonts w:hint="eastAsia" w:ascii="微软雅黑" w:hAnsi="微软雅黑" w:eastAsia="微软雅黑" w:cs="微软雅黑"/>
                <w:i w:val="0"/>
                <w:caps w:val="0"/>
                <w:color w:val="000000"/>
                <w:spacing w:val="0"/>
                <w:kern w:val="0"/>
                <w:sz w:val="24"/>
                <w:szCs w:val="24"/>
                <w:u w:val="single"/>
                <w:lang w:val="en-US" w:eastAsia="zh-CN" w:bidi="ar"/>
              </w:rPr>
              <w:t xml:space="preserve">    </w:t>
            </w:r>
            <w:r>
              <w:rPr>
                <w:rFonts w:hint="eastAsia" w:ascii="微软雅黑" w:hAnsi="微软雅黑" w:eastAsia="微软雅黑" w:cs="微软雅黑"/>
                <w:i w:val="0"/>
                <w:caps w:val="0"/>
                <w:color w:val="000000"/>
                <w:spacing w:val="0"/>
                <w:kern w:val="0"/>
                <w:sz w:val="24"/>
                <w:szCs w:val="24"/>
                <w:lang w:val="en-US" w:eastAsia="zh-CN" w:bidi="ar"/>
              </w:rPr>
              <w:t>月</w:t>
            </w:r>
            <w:r>
              <w:rPr>
                <w:rFonts w:hint="eastAsia" w:ascii="微软雅黑" w:hAnsi="微软雅黑" w:eastAsia="微软雅黑" w:cs="微软雅黑"/>
                <w:i w:val="0"/>
                <w:caps w:val="0"/>
                <w:color w:val="000000"/>
                <w:spacing w:val="0"/>
                <w:kern w:val="0"/>
                <w:sz w:val="24"/>
                <w:szCs w:val="24"/>
                <w:u w:val="single"/>
                <w:lang w:val="en-US" w:eastAsia="zh-CN" w:bidi="ar"/>
              </w:rPr>
              <w:t xml:space="preserve">    </w:t>
            </w:r>
            <w:r>
              <w:rPr>
                <w:rFonts w:hint="eastAsia" w:ascii="微软雅黑" w:hAnsi="微软雅黑" w:eastAsia="微软雅黑" w:cs="微软雅黑"/>
                <w:i w:val="0"/>
                <w:caps w:val="0"/>
                <w:color w:val="000000"/>
                <w:spacing w:val="0"/>
                <w:kern w:val="0"/>
                <w:sz w:val="24"/>
                <w:szCs w:val="24"/>
                <w:lang w:val="en-US" w:eastAsia="zh-CN" w:bidi="ar"/>
              </w:rPr>
              <w:t>日</w:t>
            </w:r>
          </w:p>
        </w:tc>
      </w:tr>
    </w:tbl>
    <w:p w14:paraId="3C808DE8">
      <w:pPr>
        <w:keepNext w:val="0"/>
        <w:keepLines w:val="0"/>
        <w:pageBreakBefore w:val="0"/>
        <w:kinsoku/>
        <w:wordWrap/>
        <w:overflowPunct/>
        <w:topLinePunct w:val="0"/>
        <w:autoSpaceDE/>
        <w:autoSpaceDN/>
        <w:bidi w:val="0"/>
        <w:adjustRightInd/>
        <w:snapToGrid/>
        <w:ind w:firstLine="480" w:firstLineChars="200"/>
        <w:textAlignment w:val="auto"/>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0D75BE"/>
    <w:rsid w:val="291636A3"/>
    <w:rsid w:val="34AA187D"/>
    <w:rsid w:val="523C37DF"/>
    <w:rsid w:val="625128FC"/>
    <w:rsid w:val="68784FFB"/>
    <w:rsid w:val="79C16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2552</Words>
  <Characters>2576</Characters>
  <Lines>0</Lines>
  <Paragraphs>0</Paragraphs>
  <TotalTime>1</TotalTime>
  <ScaleCrop>false</ScaleCrop>
  <LinksUpToDate>false</LinksUpToDate>
  <CharactersWithSpaces>3487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2024-10-11T07:10:00Z</dcterms:created>
  <dc:creator>37388</dc:creator>
  <cp:lastModifiedBy>豪</cp:lastModifiedBy>
  <dcterms:modified xsi:type="dcterms:W3CDTF">2026-03-22T07:20:54Z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8403AA78DEFB4D8AAF4D6D1281DF0BDB_12</vt:lpwstr>
  </property>
  <property fmtid="{D5CDD505-2E9C-101B-9397-08002B2CF9AE}" pid="4" name="KSOTemplateDocerSaveRecord">
    <vt:lpwstr>eyJoZGlkIjoiNTg0MzMyNGJiMDEzODc5ODNlMGVjODViOWRkZjg1MDgiLCJ1c2VySWQiOiIxMjc2Mzc3NjgxIn0=</vt:lpwstr>
  </property>
</Properties>
</file>