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470CF280">
      <w:pPr>
        <w:pStyle w:val="2"/>
        <w:pageBreakBefore w:val="0"/>
        <w:widowControl/>
        <w:kinsoku/>
        <w:wordWrap/>
        <w:overflowPunct/>
        <w:topLinePunct w:val="0"/>
        <w:autoSpaceDE/>
        <w:autoSpaceDN/>
        <w:bidi w:val="0"/>
        <w:adjustRightInd/>
        <w:snapToGrid/>
        <w:spacing w:before="0" w:after="0" w:line="360" w:lineRule="auto"/>
        <w:ind w:left="0"/>
        <w:jc w:val="center"/>
        <w:textAlignment w:val="auto"/>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val="en-US" w:eastAsia="zh-CN"/>
        </w:rPr>
        <w:t>合同编号：真宇21270</w:t>
      </w:r>
      <w:r>
        <w:rPr>
          <w:rFonts w:hint="eastAsia" w:ascii="微软雅黑" w:hAnsi="微软雅黑" w:eastAsia="微软雅黑" w:cs="微软雅黑"/>
          <w:b w:val="0"/>
          <w:bCs w:val="0"/>
          <w:sz w:val="24"/>
          <w:szCs w:val="24"/>
          <w:lang w:eastAsia="zh-CN"/>
        </w:rPr>
        <w:t>7</w:t>
      </w:r>
    </w:p>
    <w:p w14:paraId="63574886">
      <w:pPr>
        <w:pageBreakBefore w:val="0"/>
        <w:kinsoku/>
        <w:wordWrap/>
        <w:overflowPunct/>
        <w:topLinePunct w:val="0"/>
        <w:bidi w:val="0"/>
        <w:adjustRightInd/>
        <w:snapToGrid/>
        <w:spacing w:line="360" w:lineRule="auto"/>
        <w:ind w:left="0"/>
        <w:jc w:val="center"/>
        <w:textAlignment w:val="auto"/>
        <w:rPr>
          <w:rFonts w:hint="eastAsia" w:ascii="微软雅黑" w:hAnsi="微软雅黑" w:eastAsia="微软雅黑" w:cs="微软雅黑"/>
          <w:sz w:val="36"/>
          <w:szCs w:val="36"/>
          <w:lang w:val="en-US" w:eastAsia="zh-CN"/>
        </w:rPr>
      </w:pPr>
      <w:bookmarkStart w:id="0" w:name="_GoBack"/>
    </w:p>
    <w:p w14:paraId="378074BB">
      <w:pPr>
        <w:pStyle w:val="2"/>
        <w:pageBreakBefore w:val="0"/>
        <w:widowControl/>
        <w:kinsoku/>
        <w:wordWrap/>
        <w:overflowPunct/>
        <w:topLinePunct w:val="0"/>
        <w:autoSpaceDE/>
        <w:autoSpaceDN/>
        <w:bidi w:val="0"/>
        <w:adjustRightInd/>
        <w:snapToGrid/>
        <w:spacing w:before="0" w:after="0" w:line="360" w:lineRule="auto"/>
        <w:ind w:left="0"/>
        <w:jc w:val="center"/>
        <w:textAlignment w:val="auto"/>
        <w:rPr>
          <w:rFonts w:hint="eastAsia" w:ascii="微软雅黑" w:hAnsi="微软雅黑" w:eastAsia="微软雅黑" w:cs="微软雅黑"/>
          <w:b/>
          <w:bCs/>
          <w:color w:val="008000"/>
          <w:spacing w:val="57"/>
          <w:sz w:val="36"/>
          <w:szCs w:val="36"/>
          <w:lang w:val="en-US"/>
        </w:rPr>
      </w:pPr>
      <w:r>
        <w:rPr>
          <w:rFonts w:hint="eastAsia" w:ascii="微软雅黑" w:hAnsi="微软雅黑" w:eastAsia="微软雅黑" w:cs="微软雅黑"/>
          <w:b/>
          <w:bCs/>
          <w:spacing w:val="57"/>
          <w:sz w:val="36"/>
          <w:szCs w:val="36"/>
          <w:lang w:eastAsia="zh-CN"/>
        </w:rPr>
        <w:t>建筑渣土运输合同</w:t>
      </w:r>
    </w:p>
    <w:bookmarkEnd w:id="0"/>
    <w:p w14:paraId="4391163D">
      <w:pPr>
        <w:pStyle w:val="5"/>
        <w:pageBreakBefore w:val="0"/>
        <w:kinsoku/>
        <w:wordWrap/>
        <w:overflowPunct/>
        <w:topLinePunct w:val="0"/>
        <w:bidi w:val="0"/>
        <w:adjustRightInd/>
        <w:snapToGrid/>
        <w:spacing w:before="0" w:beforeAutospacing="0" w:after="0" w:afterAutospacing="0" w:line="360" w:lineRule="auto"/>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p>
    <w:p w14:paraId="1D2255C3">
      <w:pPr>
        <w:pStyle w:val="5"/>
        <w:pageBreakBefore w:val="0"/>
        <w:kinsoku/>
        <w:wordWrap/>
        <w:overflowPunct/>
        <w:topLinePunct w:val="0"/>
        <w:bidi w:val="0"/>
        <w:adjustRightInd/>
        <w:snapToGrid/>
        <w:spacing w:before="0" w:beforeAutospacing="0" w:after="0" w:afterAutospacing="0" w:line="360" w:lineRule="auto"/>
        <w:ind w:left="0"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甲方(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托运人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206BAD6E">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7AFB413D">
      <w:pPr>
        <w:pStyle w:val="5"/>
        <w:pageBreakBefore w:val="0"/>
        <w:kinsoku/>
        <w:wordWrap/>
        <w:overflowPunct/>
        <w:topLinePunct w:val="0"/>
        <w:bidi w:val="0"/>
        <w:adjustRightInd/>
        <w:snapToGrid/>
        <w:spacing w:before="0" w:beforeAutospacing="0" w:after="0" w:afterAutospacing="0" w:line="360" w:lineRule="auto"/>
        <w:ind w:left="0"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p>
    <w:p w14:paraId="060485EB">
      <w:pPr>
        <w:pStyle w:val="5"/>
        <w:pageBreakBefore w:val="0"/>
        <w:kinsoku/>
        <w:wordWrap/>
        <w:overflowPunct/>
        <w:topLinePunct w:val="0"/>
        <w:bidi w:val="0"/>
        <w:adjustRightInd/>
        <w:snapToGrid/>
        <w:spacing w:before="0" w:beforeAutospacing="0" w:after="0" w:afterAutospacing="0" w:line="360" w:lineRule="auto"/>
        <w:ind w:left="0"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乙方（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承运人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42C1F170">
      <w:pPr>
        <w:pStyle w:val="5"/>
        <w:pageBreakBefore w:val="0"/>
        <w:kinsoku/>
        <w:wordWrap/>
        <w:overflowPunct/>
        <w:topLinePunct w:val="0"/>
        <w:bidi w:val="0"/>
        <w:adjustRightInd/>
        <w:snapToGrid/>
        <w:spacing w:before="0" w:beforeAutospacing="0" w:after="0" w:afterAutospacing="0" w:line="360" w:lineRule="auto"/>
        <w:ind w:left="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6DC360B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14547D2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甲方因工程项目而产生的建筑渣土需要外运，甲方将该项渣土运输工作托运给乙方。为了确保工程的顺利进行，明确双方职责，现经甲、乙双方协商，订立如下条款，以资共同信守执行：</w:t>
      </w:r>
    </w:p>
    <w:p w14:paraId="64F2AA4F">
      <w:pPr>
        <w:pStyle w:val="1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微软雅黑" w:hAnsi="微软雅黑" w:eastAsia="微软雅黑" w:cs="微软雅黑"/>
          <w:sz w:val="24"/>
          <w:szCs w:val="24"/>
          <w:u w:val="single"/>
          <w:lang w:val="en-US" w:eastAsia="zh-CN"/>
        </w:rPr>
      </w:pPr>
      <w:r>
        <w:rPr>
          <w:rFonts w:hint="eastAsia" w:ascii="微软雅黑" w:hAnsi="微软雅黑" w:eastAsia="微软雅黑" w:cs="微软雅黑"/>
          <w:b/>
          <w:bCs/>
          <w:sz w:val="24"/>
          <w:szCs w:val="24"/>
          <w:lang w:val="en-US" w:eastAsia="zh-CN"/>
        </w:rPr>
        <w:t>一、</w:t>
      </w:r>
      <w:r>
        <w:rPr>
          <w:rFonts w:hint="eastAsia" w:ascii="微软雅黑" w:hAnsi="微软雅黑" w:eastAsia="微软雅黑" w:cs="微软雅黑"/>
          <w:b/>
          <w:bCs/>
          <w:sz w:val="24"/>
          <w:szCs w:val="24"/>
          <w:lang w:eastAsia="zh-CN"/>
        </w:rPr>
        <w:t>工程地址</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eastAsia="zh-CN"/>
        </w:rPr>
        <w:t>。</w:t>
      </w:r>
    </w:p>
    <w:p w14:paraId="10491C4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7121F32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二、工程量的核定及单价</w:t>
      </w:r>
    </w:p>
    <w:p w14:paraId="3F73B79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合同签署前，由双方代表根据甲方提供有关施工图纸，交换现场标高，经测算，暂定土方量为</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立方米，运输完毕后按实际发生量结算。</w:t>
      </w:r>
    </w:p>
    <w:p w14:paraId="6212B4E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0CCBCC4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SA"/>
        </w:rPr>
        <w:t>三、</w:t>
      </w:r>
      <w:r>
        <w:rPr>
          <w:rFonts w:hint="eastAsia" w:ascii="微软雅黑" w:hAnsi="微软雅黑" w:eastAsia="微软雅黑" w:cs="微软雅黑"/>
          <w:b/>
          <w:bCs/>
          <w:kern w:val="2"/>
          <w:sz w:val="24"/>
          <w:szCs w:val="24"/>
          <w:lang w:val="en-US" w:eastAsia="zh-CN" w:bidi="ar"/>
        </w:rPr>
        <w:t>运输费用</w:t>
      </w:r>
    </w:p>
    <w:p w14:paraId="6FC980F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360" w:lineRule="auto"/>
        <w:ind w:left="0" w:right="0" w:rightChars="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土方外运费用（包括装载、运输消纳、施工红线以外的职能部门的执法管理费），按车计算，每车单价为</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元（大写：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w:t>
      </w:r>
    </w:p>
    <w:p w14:paraId="0249773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249F646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四、工期</w:t>
      </w:r>
    </w:p>
    <w:p w14:paraId="1A8402A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1、乙方必须按照甲方的施工进度计划，安排土方运输的施工顺序，工期按甲方施工进度确定。</w:t>
      </w:r>
    </w:p>
    <w:p w14:paraId="5455F03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2、因以下原因造成工期延误，经甲方代表确认，工期应当相应延期：</w:t>
      </w:r>
    </w:p>
    <w:p w14:paraId="7E14D67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（1）相关职能部门因管理需要，要求停运或停止施工。</w:t>
      </w:r>
    </w:p>
    <w:p w14:paraId="3B2BECD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（2）甲方工程项目进展造成乙方车辆无法运输或施工。</w:t>
      </w:r>
    </w:p>
    <w:p w14:paraId="45BB59A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（3）大雨等恶劣气候或其它不可抗力因素。</w:t>
      </w:r>
    </w:p>
    <w:p w14:paraId="1A5E646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（4）经甲方代表同意工期顺延的其他情况。</w:t>
      </w:r>
    </w:p>
    <w:p w14:paraId="4812D05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53B34BF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五、付款方式</w:t>
      </w:r>
    </w:p>
    <w:p w14:paraId="3F32E18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1、在合同签署生效后，乙方根据甲方的要求安排车辆进场作业，乙方完成总工程量后</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日内，办理该项工程款的结算手续。</w:t>
      </w:r>
    </w:p>
    <w:p w14:paraId="4940D7B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2、工程完工，甲方和乙方根据现场发放的渣土票核定工程量，按有关约定在</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天内办理结算。</w:t>
      </w:r>
    </w:p>
    <w:p w14:paraId="7EC97A5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6E7FD12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六、甲方工作范围及承担责任</w:t>
      </w:r>
    </w:p>
    <w:p w14:paraId="7B228B3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1、及时向乙方交付有关施工图纸的施工组织设计，协助乙方考察现场。</w:t>
      </w:r>
    </w:p>
    <w:p w14:paraId="76E83BA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2、在乙方进场施工前，甲方负责清理场内障碍物、场内排水、提供夜间施工的照明设备。</w:t>
      </w:r>
    </w:p>
    <w:p w14:paraId="2ABACCB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3、甲方负责施工作业场地硬化和围扩。</w:t>
      </w:r>
    </w:p>
    <w:p w14:paraId="0A742D5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4、现场配备专业管理人员配合乙方施工并协调工地工作。</w:t>
      </w:r>
    </w:p>
    <w:p w14:paraId="38D4466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5、工程进度将出现较大幅度凋整时，应及时通知乙方。</w:t>
      </w:r>
    </w:p>
    <w:p w14:paraId="716837B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6、负责解决工地周边有关事宜。</w:t>
      </w:r>
    </w:p>
    <w:p w14:paraId="0A0F58A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0C7C9EE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七、乙方工作范围及承担的责任</w:t>
      </w:r>
    </w:p>
    <w:p w14:paraId="750BEF6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1、外运消纳场由乙方自理。</w:t>
      </w:r>
    </w:p>
    <w:p w14:paraId="5D1B359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2、办理有关土方开挖外运的一切手续，费用由乙方承担。</w:t>
      </w:r>
    </w:p>
    <w:p w14:paraId="66247FB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3、因乙方人为原因，对施工中的建筑物、可视设施造成的损失由乙方赔偿。</w:t>
      </w:r>
    </w:p>
    <w:p w14:paraId="165B7D8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4、因车辆滴、撒、漏而影响环境卫生、现场文明和车辆运输安全等问题所发生的一切纠纷，均由乙方和有关部门联系协调，自行解决，并承担因纠纷产生的所有相关费用。</w:t>
      </w:r>
    </w:p>
    <w:p w14:paraId="7204FC7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5、乙方必须配合甲方现场施工人员的合理安排。</w:t>
      </w:r>
    </w:p>
    <w:p w14:paraId="088A99C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6、乙方所有的施工机具及人员由乙方自行安排。</w:t>
      </w:r>
    </w:p>
    <w:p w14:paraId="50F994F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3DF9D352">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b/>
          <w:bCs/>
          <w:kern w:val="2"/>
          <w:sz w:val="24"/>
          <w:szCs w:val="24"/>
          <w:lang w:val="en-US" w:eastAsia="zh-CN" w:bidi="ar"/>
        </w:rPr>
        <w:t>违约责任</w:t>
      </w:r>
    </w:p>
    <w:p w14:paraId="68F84BE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360" w:lineRule="auto"/>
        <w:ind w:left="0" w:right="0" w:rightChars="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1、</w:t>
      </w:r>
      <w:r>
        <w:rPr>
          <w:rFonts w:hint="eastAsia" w:ascii="微软雅黑" w:hAnsi="微软雅黑" w:eastAsia="微软雅黑" w:cs="微软雅黑"/>
          <w:b w:val="0"/>
          <w:bCs w:val="0"/>
          <w:kern w:val="2"/>
          <w:sz w:val="24"/>
          <w:szCs w:val="24"/>
          <w:lang w:val="en-US" w:eastAsia="zh-CN" w:bidi="ar"/>
        </w:rPr>
        <w:t>甲方未及时通知乙方</w:t>
      </w:r>
      <w:r>
        <w:rPr>
          <w:rFonts w:hint="eastAsia" w:ascii="微软雅黑" w:hAnsi="微软雅黑" w:eastAsia="微软雅黑" w:cs="微软雅黑"/>
          <w:kern w:val="2"/>
          <w:sz w:val="24"/>
          <w:szCs w:val="24"/>
          <w:lang w:val="en-US" w:eastAsia="zh-CN" w:bidi="ar"/>
        </w:rPr>
        <w:t>工程进度出现较大幅度凋整导致乙方遭受损失的，乙方有权要求甲方承担违约责任。</w:t>
      </w:r>
    </w:p>
    <w:p w14:paraId="66FA132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360" w:lineRule="auto"/>
        <w:ind w:left="0" w:right="0" w:rightChars="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2、乙方未及时按照甲方的施工进度计划安排土方运输工作导致甲方施工进度耽误的，造成的损失由乙方负责。</w:t>
      </w:r>
    </w:p>
    <w:p w14:paraId="4477C64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545CF8A5">
      <w:pPr>
        <w:pageBreakBefore w:val="0"/>
        <w:tabs>
          <w:tab w:val="left" w:pos="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九、</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39827B5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2D0C841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740F433E">
      <w:pPr>
        <w:pageBreakBefore w:val="0"/>
        <w:tabs>
          <w:tab w:val="left" w:pos="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737CECF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4AB8250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十、争议处理方式</w:t>
      </w:r>
    </w:p>
    <w:p w14:paraId="3377A5E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本合同在履行过程中发生的争议，由双方当事人协商解决，也可由有关部门调解；协商或调解不成的，按下列第</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种方式解决（只能选择一种）：</w:t>
      </w:r>
    </w:p>
    <w:p w14:paraId="1E0C77F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1、提交</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仲裁委员会仲裁；</w:t>
      </w:r>
    </w:p>
    <w:p w14:paraId="45B8EDF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2、依法向</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人民法院起诉。</w:t>
      </w:r>
    </w:p>
    <w:p w14:paraId="266A5F5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eastAsia="zh-CN"/>
        </w:rPr>
      </w:pPr>
    </w:p>
    <w:p w14:paraId="753B847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十一、其他约定</w:t>
      </w:r>
    </w:p>
    <w:p w14:paraId="636BD90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第一条 本合同一式</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份，甲乙双方各执</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份，具有同等法律效</w:t>
      </w:r>
    </w:p>
    <w:p w14:paraId="0D88F87A">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第二条 合同由双方代表人或者授权委托人签字并加盖公章后生效。</w:t>
      </w:r>
    </w:p>
    <w:p w14:paraId="540F3315">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kern w:val="2"/>
          <w:sz w:val="24"/>
          <w:szCs w:val="24"/>
          <w:lang w:val="en-US" w:eastAsia="zh-CN" w:bidi="ar"/>
        </w:rPr>
        <w:t xml:space="preserve">第三条 </w:t>
      </w:r>
      <w:r>
        <w:rPr>
          <w:rFonts w:hint="eastAsia" w:ascii="微软雅黑" w:hAnsi="微软雅黑" w:eastAsia="微软雅黑" w:cs="微软雅黑"/>
          <w:color w:val="000000" w:themeColor="text1"/>
          <w:sz w:val="24"/>
          <w:szCs w:val="24"/>
          <w14:textFill>
            <w14:solidFill>
              <w14:schemeClr w14:val="tx1"/>
            </w14:solidFill>
          </w14:textFill>
        </w:rPr>
        <w:t>在本</w:t>
      </w:r>
      <w:r>
        <w:rPr>
          <w:rFonts w:hint="eastAsia" w:ascii="微软雅黑" w:hAnsi="微软雅黑" w:eastAsia="微软雅黑" w:cs="微软雅黑"/>
          <w:color w:val="000000" w:themeColor="text1"/>
          <w:sz w:val="24"/>
          <w:szCs w:val="24"/>
          <w:lang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执行过程中，如发现相关事项约定不明确，或者履行</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其他事项</w:t>
      </w:r>
      <w:r>
        <w:rPr>
          <w:rFonts w:hint="eastAsia" w:ascii="微软雅黑" w:hAnsi="微软雅黑" w:eastAsia="微软雅黑" w:cs="微软雅黑"/>
          <w:color w:val="000000" w:themeColor="text1"/>
          <w:sz w:val="24"/>
          <w:szCs w:val="24"/>
          <w14:textFill>
            <w14:solidFill>
              <w14:schemeClr w14:val="tx1"/>
            </w14:solidFill>
          </w14:textFill>
        </w:rPr>
        <w:t>受到限制需要增加、调整约定事项的，甲乙双方可对</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相关条款进行变更，并签订补充协议或者重新签订</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书。</w:t>
      </w:r>
    </w:p>
    <w:p w14:paraId="3CD87842">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第四条 </w:t>
      </w:r>
      <w:r>
        <w:rPr>
          <w:rFonts w:hint="eastAsia" w:ascii="微软雅黑" w:hAnsi="微软雅黑" w:eastAsia="微软雅黑" w:cs="微软雅黑"/>
          <w:color w:val="000000" w:themeColor="text1"/>
          <w:sz w:val="24"/>
          <w:szCs w:val="24"/>
          <w14:textFill>
            <w14:solidFill>
              <w14:schemeClr w14:val="tx1"/>
            </w14:solidFill>
          </w14:textFill>
        </w:rPr>
        <w:t>送达地址以及送达条款</w:t>
      </w:r>
    </w:p>
    <w:p w14:paraId="1A1AE575">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送达地址以及方式</w:t>
      </w:r>
    </w:p>
    <w:p w14:paraId="0AB26964">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（一）送达地址</w:t>
      </w:r>
    </w:p>
    <w:p w14:paraId="1310D92D">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甲方确认送达地址如下：</w:t>
      </w:r>
    </w:p>
    <w:p w14:paraId="2DD9B5D9">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30B45D7B">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4934E0BF">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3B64C1AB">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1B1B0119">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甲方电子送达方式如下：</w:t>
      </w:r>
    </w:p>
    <w:p w14:paraId="2DEDD32E">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21623C6C">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27E4B109">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1D600AA4">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            。</w:t>
      </w:r>
    </w:p>
    <w:p w14:paraId="7E3C6F50">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5B810099">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乙方确认送达地址如下：</w:t>
      </w:r>
    </w:p>
    <w:p w14:paraId="479C2FF3">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72CFE7F0">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63352F15">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418B07A3">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1BA8FD85">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乙方电子送达方式如下：</w:t>
      </w:r>
    </w:p>
    <w:p w14:paraId="577B6306">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3448D146">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700F5917">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09D93F31">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w:t>
      </w:r>
    </w:p>
    <w:p w14:paraId="6E82FA16">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（二）送达方式</w:t>
      </w:r>
    </w:p>
    <w:p w14:paraId="646032DE">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双方同意，本合同项下的通知、函件、诉讼文书等文件，以下列方式送达对方：</w:t>
      </w:r>
    </w:p>
    <w:p w14:paraId="229A247A">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直接送达：将文件送至对方指定的送达地址，视为已送达；</w:t>
      </w:r>
    </w:p>
    <w:p w14:paraId="2960E8C5">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邮寄送达：将文件通过挂号信、特快专递等方式寄至对方指定的送达地址，以邮戳日期为准，视为已送达；</w:t>
      </w:r>
    </w:p>
    <w:p w14:paraId="1D3F259C">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电子送达：将文件通过电子邮件、短信、微信等方式发送至对方指定的电子邮箱、手机号码等，发送成功即视为已送达。</w:t>
      </w:r>
    </w:p>
    <w:p w14:paraId="084F5913">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送达条款</w:t>
      </w:r>
    </w:p>
    <w:p w14:paraId="4A788566">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一</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本送达条款适用于合同履行履行期间及合同纠纷解决过程中的所有文件送达。</w:t>
      </w:r>
    </w:p>
    <w:p w14:paraId="4E8DF3D3">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（二）</w:t>
      </w:r>
      <w:r>
        <w:rPr>
          <w:rFonts w:hint="eastAsia" w:ascii="微软雅黑" w:hAnsi="微软雅黑" w:eastAsia="微软雅黑" w:cs="微软雅黑"/>
          <w:color w:val="000000" w:themeColor="text1"/>
          <w:sz w:val="24"/>
          <w:szCs w:val="24"/>
          <w14:textFill>
            <w14:solidFill>
              <w14:schemeClr w14:val="tx1"/>
            </w14:solidFill>
          </w14:textFill>
        </w:rPr>
        <w:t>法院、仲裁委员会、合同项下任何一方等主体有权依据本合</w:t>
      </w:r>
      <w:r>
        <w:rPr>
          <w:rFonts w:hint="eastAsia" w:ascii="微软雅黑" w:hAnsi="微软雅黑" w:eastAsia="微软雅黑" w:cs="微软雅黑"/>
          <w:color w:val="000000" w:themeColor="text1"/>
          <w:sz w:val="24"/>
          <w:szCs w:val="24"/>
          <w:lang w:eastAsia="zh-CN"/>
          <w14:textFill>
            <w14:solidFill>
              <w14:schemeClr w14:val="tx1"/>
            </w14:solidFill>
          </w14:textFill>
        </w:rPr>
        <w:t>同</w:t>
      </w:r>
      <w:r>
        <w:rPr>
          <w:rFonts w:hint="eastAsia" w:ascii="微软雅黑" w:hAnsi="微软雅黑" w:eastAsia="微软雅黑" w:cs="微软雅黑"/>
          <w:color w:val="000000" w:themeColor="text1"/>
          <w:sz w:val="24"/>
          <w:szCs w:val="24"/>
          <w14:textFill>
            <w14:solidFill>
              <w14:schemeClr w14:val="tx1"/>
            </w14:solidFill>
          </w14:textFill>
        </w:rPr>
        <w:t>约定地址向另一方发出的通知、信件、数据电文等内容，如因包括不限于搬迁、注销、更换地址等接收方原因造成无法送达的，不利后果由接收方自行承担。</w:t>
      </w:r>
    </w:p>
    <w:p w14:paraId="776E3A46">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三</w:t>
      </w:r>
      <w:r>
        <w:rPr>
          <w:rFonts w:hint="eastAsia" w:ascii="微软雅黑" w:hAnsi="微软雅黑" w:eastAsia="微软雅黑" w:cs="微软雅黑"/>
          <w:color w:val="000000" w:themeColor="text1"/>
          <w:sz w:val="24"/>
          <w:szCs w:val="24"/>
          <w14:textFill>
            <w14:solidFill>
              <w14:schemeClr w14:val="tx1"/>
            </w14:solidFill>
          </w14:textFill>
        </w:rPr>
        <w:t>）双方在合同履行过程中由双方共同明示或默示确认的合同约定外的送达地址和联系方式不影响送达效力。</w:t>
      </w:r>
    </w:p>
    <w:p w14:paraId="46F7C65F">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四</w:t>
      </w:r>
      <w:r>
        <w:rPr>
          <w:rFonts w:hint="eastAsia" w:ascii="微软雅黑" w:hAnsi="微软雅黑" w:eastAsia="微软雅黑" w:cs="微软雅黑"/>
          <w:color w:val="000000" w:themeColor="text1"/>
          <w:sz w:val="24"/>
          <w:szCs w:val="24"/>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6E191B23">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五</w:t>
      </w:r>
      <w:r>
        <w:rPr>
          <w:rFonts w:hint="eastAsia" w:ascii="微软雅黑" w:hAnsi="微软雅黑" w:eastAsia="微软雅黑" w:cs="微软雅黑"/>
          <w:color w:val="000000" w:themeColor="text1"/>
          <w:sz w:val="24"/>
          <w:szCs w:val="24"/>
          <w14:textFill>
            <w14:solidFill>
              <w14:schemeClr w14:val="tx1"/>
            </w14:solidFill>
          </w14:textFill>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olor w:val="000000" w:themeColor="text1"/>
          <w:sz w:val="24"/>
          <w:szCs w:val="24"/>
          <w:lang w:eastAsia="zh-CN"/>
          <w14:textFill>
            <w14:solidFill>
              <w14:schemeClr w14:val="tx1"/>
            </w14:solidFill>
          </w14:textFill>
        </w:rPr>
        <w:t>及时</w:t>
      </w:r>
      <w:r>
        <w:rPr>
          <w:rFonts w:hint="eastAsia" w:ascii="微软雅黑" w:hAnsi="微软雅黑" w:eastAsia="微软雅黑" w:cs="微软雅黑"/>
          <w:color w:val="000000" w:themeColor="text1"/>
          <w:sz w:val="24"/>
          <w:szCs w:val="24"/>
          <w14:textFill>
            <w14:solidFill>
              <w14:schemeClr w14:val="tx1"/>
            </w14:solidFill>
          </w14:textFill>
        </w:rPr>
        <w:t>通知的，发送方按照原约定方式送达，视为送达成功。</w:t>
      </w:r>
    </w:p>
    <w:p w14:paraId="65320164">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六</w:t>
      </w:r>
      <w:r>
        <w:rPr>
          <w:rFonts w:hint="eastAsia" w:ascii="微软雅黑" w:hAnsi="微软雅黑" w:eastAsia="微软雅黑" w:cs="微软雅黑"/>
          <w:color w:val="000000" w:themeColor="text1"/>
          <w:sz w:val="24"/>
          <w:szCs w:val="24"/>
          <w14:textFill>
            <w14:solidFill>
              <w14:schemeClr w14:val="tx1"/>
            </w14:solidFill>
          </w14:textFill>
        </w:rPr>
        <w:t>）双方发生争议，关于裁判机构的送达文书，接收方存在以下行为之一的，</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仲裁委员会有权依据法律和适时有效的仲裁规则规定进行送达，法律与仲裁规则规定程序完成之日，视为送达成功：</w:t>
      </w:r>
    </w:p>
    <w:p w14:paraId="13ADF14F">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1.擅自变更送达地址及信息且未及时通知对方的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14117117">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2.送达地址与信息同工商登记信息不一致且未及时更改的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04206C7C">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3.故意不接收</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仲裁委员会送达文书的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048C739B">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4.因接收方过错造成无法正常送达的其他行为</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51561FE7">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4E72E6C1">
      <w:pPr>
        <w:pageBreakBefore w:val="0"/>
        <w:tabs>
          <w:tab w:val="left" w:pos="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06F03B07">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6DD849B8">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56E03078">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44854C3F">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62A46062">
      <w:pPr>
        <w:pageBreakBefore w:val="0"/>
        <w:tabs>
          <w:tab w:val="left" w:pos="72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138D1243">
      <w:pPr>
        <w:pageBreakBefore w:val="0"/>
        <w:kinsoku/>
        <w:wordWrap/>
        <w:overflowPunct/>
        <w:topLinePunct w:val="0"/>
        <w:bidi w:val="0"/>
        <w:adjustRightInd/>
        <w:snapToGrid/>
        <w:spacing w:line="360" w:lineRule="auto"/>
        <w:ind w:left="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69134866">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6F1B32B3">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273B5827">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16AD4EB3">
      <w:pPr>
        <w:pageBreakBefore w:val="0"/>
        <w:tabs>
          <w:tab w:val="left" w:pos="72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787D7A4D">
      <w:pPr>
        <w:pageBreakBefore w:val="0"/>
        <w:tabs>
          <w:tab w:val="left" w:pos="720"/>
        </w:tabs>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5F07929F">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0022EB6C">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06E2F0C2">
      <w:pPr>
        <w:pageBreakBefore w:val="0"/>
        <w:kinsoku/>
        <w:wordWrap/>
        <w:overflowPunct/>
        <w:topLinePunct w:val="0"/>
        <w:bidi w:val="0"/>
        <w:adjustRightInd/>
        <w:snapToGrid/>
        <w:spacing w:line="360" w:lineRule="auto"/>
        <w:ind w:left="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33FB3DB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p>
    <w:p w14:paraId="63EE241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5D5CD6E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p>
    <w:p w14:paraId="741E030C">
      <w:pPr>
        <w:pageBreakBefore w:val="0"/>
        <w:kinsoku/>
        <w:wordWrap/>
        <w:overflowPunct/>
        <w:topLinePunct w:val="0"/>
        <w:autoSpaceDE/>
        <w:autoSpaceDN/>
        <w:bidi w:val="0"/>
        <w:adjustRightInd/>
        <w:snapToGrid/>
        <w:spacing w:line="360" w:lineRule="auto"/>
        <w:ind w:left="0"/>
        <w:textAlignment w:val="auto"/>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9D4C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BF042A">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6BF042A">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697FE"/>
    <w:multiLevelType w:val="singleLevel"/>
    <w:tmpl w:val="191697FE"/>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yOWQwOGU1YThmNmQ5OWFkMDMzMDYwNTI0NWU0NmUifQ=="/>
  </w:docVars>
  <w:rsids>
    <w:rsidRoot w:val="600709B1"/>
    <w:rsid w:val="2A5A47CD"/>
    <w:rsid w:val="57EBC1C8"/>
    <w:rsid w:val="600709B1"/>
    <w:rsid w:val="673556F5"/>
    <w:rsid w:val="67BB5A7F"/>
    <w:rsid w:val="74977D90"/>
    <w:rsid w:val="7A3B0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9"/>
    <w:semiHidden/>
    <w:unhideWhenUsed/>
    <w:qFormat/>
    <w:uiPriority w:val="0"/>
    <w:pPr>
      <w:keepNext/>
      <w:keepLines/>
      <w:widowControl w:val="0"/>
      <w:suppressLineNumbers w:val="0"/>
      <w:spacing w:before="260" w:beforeAutospacing="0" w:after="260" w:afterAutospacing="0" w:line="415" w:lineRule="auto"/>
      <w:ind w:left="0" w:right="0"/>
      <w:jc w:val="both"/>
      <w:outlineLvl w:val="2"/>
    </w:pPr>
    <w:rPr>
      <w:rFonts w:hint="eastAsia" w:ascii="等线" w:hAnsi="等线" w:eastAsia="等线" w:cs="等线"/>
      <w:b/>
      <w:bCs/>
      <w:kern w:val="2"/>
      <w:sz w:val="32"/>
      <w:szCs w:val="32"/>
      <w:lang w:val="en-US" w:eastAsia="zh-CN" w:bidi="ar"/>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3">
    <w:name w:val="footer"/>
    <w:basedOn w:val="1"/>
    <w:link w:val="12"/>
    <w:qFormat/>
    <w:uiPriority w:val="0"/>
    <w:pPr>
      <w:tabs>
        <w:tab w:val="center" w:pos="4153"/>
        <w:tab w:val="right" w:pos="8306"/>
      </w:tabs>
      <w:snapToGrid w:val="0"/>
      <w:jc w:val="left"/>
    </w:pPr>
    <w:rPr>
      <w:sz w:val="18"/>
    </w:rPr>
  </w:style>
  <w:style w:type="paragraph" w:styleId="4">
    <w:name w:val="header"/>
    <w:basedOn w:val="1"/>
    <w:link w:val="1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line="336" w:lineRule="auto"/>
      <w:jc w:val="left"/>
    </w:pPr>
    <w:rPr>
      <w:rFonts w:ascii="宋体" w:hAnsi="宋体" w:cs="宋体"/>
      <w:kern w:val="0"/>
      <w:sz w:val="24"/>
      <w:szCs w:val="24"/>
    </w:rPr>
  </w:style>
  <w:style w:type="table" w:styleId="7">
    <w:name w:val="Table Grid"/>
    <w:basedOn w:val="6"/>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
    <w:name w:val="标题 3 字符"/>
    <w:basedOn w:val="8"/>
    <w:link w:val="2"/>
    <w:qFormat/>
    <w:uiPriority w:val="0"/>
    <w:rPr>
      <w:b/>
      <w:bCs/>
      <w:sz w:val="32"/>
      <w:szCs w:val="32"/>
    </w:rPr>
  </w:style>
  <w:style w:type="paragraph" w:customStyle="1" w:styleId="10">
    <w:name w:val="msolistparagraph"/>
    <w:basedOn w:val="1"/>
    <w:qFormat/>
    <w:uiPriority w:val="0"/>
    <w:pPr>
      <w:keepNext w:val="0"/>
      <w:keepLines w:val="0"/>
      <w:widowControl/>
      <w:suppressLineNumbers w:val="0"/>
      <w:spacing w:before="0" w:beforeAutospacing="0" w:after="0" w:afterAutospacing="0"/>
      <w:ind w:left="0" w:right="0" w:firstLine="420" w:firstLineChars="200"/>
      <w:jc w:val="left"/>
    </w:pPr>
    <w:rPr>
      <w:rFonts w:hint="default" w:ascii="Times New Roman" w:hAnsi="Times New Roman" w:eastAsia="等线" w:cs="Times New Roman"/>
      <w:kern w:val="0"/>
      <w:sz w:val="24"/>
      <w:szCs w:val="24"/>
      <w:lang w:val="en-US" w:eastAsia="zh-CN" w:bidi="ar"/>
    </w:rPr>
  </w:style>
  <w:style w:type="character" w:customStyle="1" w:styleId="11">
    <w:name w:val="页眉 字符"/>
    <w:basedOn w:val="8"/>
    <w:link w:val="4"/>
    <w:qFormat/>
    <w:uiPriority w:val="0"/>
    <w:rPr>
      <w:sz w:val="18"/>
      <w:szCs w:val="18"/>
    </w:rPr>
  </w:style>
  <w:style w:type="character" w:customStyle="1" w:styleId="12">
    <w:name w:val="页脚 字符"/>
    <w:basedOn w:val="8"/>
    <w:link w:val="3"/>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2465</Words>
  <Characters>2479</Characters>
  <Lines>0</Lines>
  <Paragraphs>0</Paragraphs>
  <TotalTime>1</TotalTime>
  <ScaleCrop>false</ScaleCrop>
  <LinksUpToDate>false</LinksUpToDate>
  <CharactersWithSpaces>2835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2023-07-05T17:14:00Z</dcterms:created>
  <dc:creator>差不多先生</dc:creator>
  <cp:lastModifiedBy>豪</cp:lastModifiedBy>
  <dcterms:modified xsi:type="dcterms:W3CDTF">2026-03-22T07:20:16Z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51A6BE189BF94B1F8352C0AE0B445D6E_11</vt:lpwstr>
  </property>
  <property fmtid="{D5CDD505-2E9C-101B-9397-08002B2CF9AE}" pid="4" name="KSOTemplateDocerSaveRecord">
    <vt:lpwstr>eyJoZGlkIjoiNTg0MzMyNGJiMDEzODc5ODNlMGVjODViOWRkZjg1MDgiLCJ1c2VySWQiOiIxMjc2Mzc3NjgxIn0=</vt:lpwstr>
  </property>
</Properties>
</file>