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6ED1A9C4">
      <w:pPr>
        <w:pageBreakBefore w:val="0"/>
        <w:kinsoku/>
        <w:wordWrap/>
        <w:overflowPunct/>
        <w:topLinePunct w:val="0"/>
        <w:bidi w:val="0"/>
        <w:adjustRightInd/>
        <w:snapToGrid/>
        <w:spacing w:line="360" w:lineRule="auto"/>
        <w:ind w:left="0" w:leftChars="0"/>
        <w:jc w:val="center"/>
        <w:textAlignment w:val="auto"/>
        <w:rPr>
          <w:rFonts w:hint="eastAsia" w:ascii="微软雅黑" w:hAnsi="微软雅黑" w:eastAsia="微软雅黑" w:cs="微软雅黑"/>
          <w:b/>
          <w:bCs/>
          <w:sz w:val="36"/>
          <w:szCs w:val="36"/>
          <w:lang w:val="en-US" w:eastAsia="zh-CN"/>
        </w:rPr>
      </w:pPr>
      <w:bookmarkStart w:id="0" w:name="_GoBack"/>
    </w:p>
    <w:p w14:paraId="2EF372AA">
      <w:pPr>
        <w:pStyle w:val="2"/>
        <w:pageBreakBefore w:val="0"/>
        <w:widowControl/>
        <w:tabs>
          <w:tab w:val="left" w:pos="2688"/>
        </w:tabs>
        <w:kinsoku/>
        <w:wordWrap/>
        <w:overflowPunct/>
        <w:topLinePunct w:val="0"/>
        <w:autoSpaceDE/>
        <w:autoSpaceDN/>
        <w:bidi w:val="0"/>
        <w:adjustRightInd/>
        <w:snapToGrid/>
        <w:spacing w:before="0" w:after="0" w:line="360" w:lineRule="auto"/>
        <w:ind w:left="0" w:leftChars="0"/>
        <w:jc w:val="center"/>
        <w:textAlignment w:val="auto"/>
        <w:rPr>
          <w:rFonts w:hint="eastAsia" w:ascii="微软雅黑" w:hAnsi="微软雅黑" w:eastAsia="微软雅黑" w:cs="微软雅黑"/>
          <w:b/>
          <w:bCs/>
          <w:color w:val="008000"/>
          <w:spacing w:val="57"/>
          <w:sz w:val="36"/>
          <w:szCs w:val="36"/>
          <w:lang w:val="en-US"/>
        </w:rPr>
      </w:pPr>
      <w:r>
        <w:rPr>
          <w:rFonts w:hint="eastAsia" w:ascii="微软雅黑" w:hAnsi="微软雅黑" w:eastAsia="微软雅黑" w:cs="微软雅黑"/>
          <w:b/>
          <w:bCs/>
          <w:spacing w:val="57"/>
          <w:sz w:val="36"/>
          <w:szCs w:val="36"/>
          <w:lang w:eastAsia="zh-CN"/>
        </w:rPr>
        <w:t>搬家运输合同</w:t>
      </w:r>
    </w:p>
    <w:bookmarkEnd w:id="0"/>
    <w:p w14:paraId="7AC8CE9F">
      <w:pPr>
        <w:pStyle w:val="5"/>
        <w:pageBreakBefore w:val="0"/>
        <w:kinsoku/>
        <w:wordWrap/>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7096509A">
      <w:pPr>
        <w:pStyle w:val="5"/>
        <w:keepNext w:val="0"/>
        <w:keepLines w:val="0"/>
        <w:pageBreakBefore w:val="0"/>
        <w:kinsoku/>
        <w:wordWrap/>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托运人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667AD4E8">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58AADCB3">
      <w:pPr>
        <w:pStyle w:val="5"/>
        <w:keepNext w:val="0"/>
        <w:keepLines w:val="0"/>
        <w:pageBreakBefore w:val="0"/>
        <w:kinsoku/>
        <w:wordWrap/>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760FA2ED">
      <w:pPr>
        <w:pStyle w:val="5"/>
        <w:keepNext w:val="0"/>
        <w:keepLines w:val="0"/>
        <w:pageBreakBefore w:val="0"/>
        <w:kinsoku/>
        <w:wordWrap/>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1FF43033">
      <w:pPr>
        <w:pStyle w:val="5"/>
        <w:keepNext w:val="0"/>
        <w:keepLines w:val="0"/>
        <w:pageBreakBefore w:val="0"/>
        <w:kinsoku/>
        <w:wordWrap/>
        <w:overflowPunct/>
        <w:topLinePunct w:val="0"/>
        <w:bidi w:val="0"/>
        <w:adjustRightInd/>
        <w:snapToGrid/>
        <w:spacing w:before="0" w:beforeAutospacing="0" w:after="0" w:afterAutospacing="0" w:line="360" w:lineRule="auto"/>
        <w:ind w:left="0" w:leftChars="0"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4AA5FB8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457C408">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兹经乙方事先出示汽车运输业营业执照，并到场估价，填妥搬运作业估价单(如附件)，双方同意根据估价单内容，使用合法营业货车，订立搬家货运合同条款列明如下：</w:t>
      </w:r>
    </w:p>
    <w:p w14:paraId="3ADFD34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第一条 搬运时间</w:t>
      </w:r>
    </w:p>
    <w:p w14:paraId="2E7EB42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 xml:space="preserve"> 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时至</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时完成搬运。</w:t>
      </w:r>
    </w:p>
    <w:p w14:paraId="4F6014D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21916E3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第二条 搬运地址</w:t>
      </w:r>
    </w:p>
    <w:p w14:paraId="13317DB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起运地址：</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 xml:space="preserve"> </w:t>
      </w:r>
    </w:p>
    <w:p w14:paraId="7971F72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迄运地址：</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 xml:space="preserve"> </w:t>
      </w:r>
    </w:p>
    <w:p w14:paraId="1BBCD15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乙方需依甲方的指示将承运货品搬运至指定位置。</w:t>
      </w:r>
    </w:p>
    <w:p w14:paraId="2A0593B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3785C69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kern w:val="2"/>
          <w:sz w:val="24"/>
          <w:szCs w:val="24"/>
          <w:lang w:val="en-US" w:eastAsia="zh-CN" w:bidi="ar"/>
        </w:rPr>
      </w:pPr>
    </w:p>
    <w:p w14:paraId="25D3AEE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第三条 搬运费</w:t>
      </w:r>
    </w:p>
    <w:p w14:paraId="7C239DD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1.采包价方式收费，总金额人民币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31DC9E1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2.采车次方式收费，每车次人民币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），预估车次</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次，视实际运送车次数计算费用，但总金额不得超过人民币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7767D7D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采车次方式收费的，乙方应按车辆的容积，以符合法律规定的满载方式进行。</w:t>
      </w:r>
    </w:p>
    <w:p w14:paraId="2B50BEE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3.有电梯的房屋，如电梯非因乙方的过失无法正常使用时，除前条所约定的搬运费外，均依附件搬运作业估价单约定方式另行收费。</w:t>
      </w:r>
    </w:p>
    <w:p w14:paraId="6567691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AF1B4B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第四条 搬运费缴付方式</w:t>
      </w:r>
    </w:p>
    <w:p w14:paraId="2C0066E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签约时预付定金人民币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 xml:space="preserve"> 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）。余款人民币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 xml:space="preserve"> 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），于搬迁作业完成经甲方确认后支付，乙方应签发收据给甲方。</w:t>
      </w:r>
    </w:p>
    <w:p w14:paraId="7A505B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1631B64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第五条  乙方权利义务</w:t>
      </w:r>
    </w:p>
    <w:p w14:paraId="35CDCDC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1.乙方对于因搬运过程所致甲方物品的毁损、灭失或者造成其他损害的，应负赔偿责任。但因不可抗力，或因搬运物的性质，或因甲方或其受雇人的过失所造成的，不在此限。</w:t>
      </w:r>
    </w:p>
    <w:p w14:paraId="49548C9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2.上述情形，甲方应于搬运完成后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日内告知乙方，如搬运物品有毁损灭失不易发现的，应于搬运完成后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日内，将其情事告知乙方。</w:t>
      </w:r>
    </w:p>
    <w:p w14:paraId="13EB63D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3.上述所定期限均扣除法定节假日。</w:t>
      </w:r>
    </w:p>
    <w:p w14:paraId="5A1576C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4.使用车辆及电梯运送货物，应符合相关法律、法规规定，如有违规，由乙方负责。</w:t>
      </w:r>
    </w:p>
    <w:p w14:paraId="5FEEA33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5.乙方应依本合同所约定的计价方式收费，不得借故加价或要求任何附加费用。</w:t>
      </w:r>
    </w:p>
    <w:p w14:paraId="6579857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6.乙方因搬运对第三人所发生的责任概由乙方负责。</w:t>
      </w:r>
    </w:p>
    <w:p w14:paraId="793004A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4296CA8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第六条  甲方权利义务</w:t>
      </w:r>
    </w:p>
    <w:p w14:paraId="122D209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提交乙方运送物品，若有现金、有价证券、珠宝、贵重金属、美术品、古董或其他贵重物品时，除甲方于托运时报明其性质及价值的以外，乙方对于其毁损或灭失，不负责任。但乙方有故意或过失的，不在此限。</w:t>
      </w:r>
    </w:p>
    <w:p w14:paraId="5DD3029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2.甲方委托搬运的物品应无违禁品及危险物品。</w:t>
      </w:r>
    </w:p>
    <w:p w14:paraId="47BD3FD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3.电梯的正常使用应由甲方事先确认。</w:t>
      </w:r>
    </w:p>
    <w:p w14:paraId="1F87B37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0027D7F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第七条  费用承担</w:t>
      </w:r>
    </w:p>
    <w:p w14:paraId="52DEF1F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1.甲方交付乙方搬运的物品，经甲方要求办理保险时，其费用由甲方承担。</w:t>
      </w:r>
    </w:p>
    <w:p w14:paraId="522EF7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2.搬运期间，乙方人员餐饮差旅费、过桥费、通行费、油费等均由乙方承担。</w:t>
      </w:r>
    </w:p>
    <w:p w14:paraId="4F487B1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4D05171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sz w:val="24"/>
          <w:szCs w:val="24"/>
          <w:lang w:val="en-US"/>
        </w:rPr>
      </w:pPr>
      <w:r>
        <w:rPr>
          <w:rFonts w:hint="eastAsia" w:ascii="微软雅黑" w:hAnsi="微软雅黑" w:eastAsia="微软雅黑" w:cs="微软雅黑"/>
          <w:b/>
          <w:bCs/>
          <w:kern w:val="2"/>
          <w:sz w:val="24"/>
          <w:szCs w:val="24"/>
          <w:lang w:val="en-US" w:eastAsia="zh-CN" w:bidi="ar"/>
        </w:rPr>
        <w:t>第八条  违约责任</w:t>
      </w:r>
    </w:p>
    <w:p w14:paraId="0C08349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1.甲方如需变更搬运时间的，应于约定搬运日期前</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日通知乙方，否则甲方应另行支付乙方人民币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）的违约金。但不得超过原估价总金额的</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w:t>
      </w:r>
    </w:p>
    <w:p w14:paraId="763B879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2.甲方因故解约的，乙方可请求不超过原估价总金额</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%的违约金。</w:t>
      </w:r>
    </w:p>
    <w:p w14:paraId="06D86A1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3.乙方应于约定时间内将甲方委托搬运的物品送至甲方指定的位置，乙方若未能于约定的时间内办理或完成搬运作业，则应赔偿甲方不超过原来估价总金额</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%的违约金。</w:t>
      </w:r>
    </w:p>
    <w:p w14:paraId="5A77235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4.搬运作业因乙方的事由未能于约定时间内完成的，甲方可解除合同要求乙方恢复原状，乙方应赔偿甲方不超过原估价总金额</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%的赔偿金。因甲方的事由导致未能完成的，乙方可解除合同，按完成比例收取费用，并可请求不超过原估价总金额扣除按比例收取费用的余额</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%的赔偿金。</w:t>
      </w:r>
    </w:p>
    <w:p w14:paraId="7342B75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5.乙方依上述规定解除合同的，甲方可请求乙方回复原状，其所需费用人民币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元（大写：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）由甲方负担。但总金额不得超过原约定之搬运费。</w:t>
      </w:r>
    </w:p>
    <w:p w14:paraId="24C3AE4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933F8D8">
      <w:pPr>
        <w:keepNext w:val="0"/>
        <w:keepLines w:val="0"/>
        <w:pageBreakBefore w:val="0"/>
        <w:tabs>
          <w:tab w:val="left" w:pos="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kern w:val="2"/>
          <w:sz w:val="24"/>
          <w:szCs w:val="24"/>
          <w:lang w:val="en-US" w:eastAsia="zh-CN" w:bidi="ar"/>
        </w:rPr>
        <w:t xml:space="preserve">第九条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44A1DCE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3DBB67B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4865B0D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1B7AD6C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E1D54D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b/>
          <w:bCs/>
          <w:kern w:val="2"/>
          <w:sz w:val="24"/>
          <w:szCs w:val="24"/>
          <w:lang w:val="en-US" w:eastAsia="zh-CN" w:bidi="ar"/>
        </w:rPr>
        <w:t>第十条</w:t>
      </w:r>
      <w:r>
        <w:rPr>
          <w:rFonts w:hint="eastAsia" w:ascii="微软雅黑" w:hAnsi="微软雅黑" w:eastAsia="微软雅黑" w:cs="微软雅黑"/>
          <w:kern w:val="2"/>
          <w:sz w:val="24"/>
          <w:szCs w:val="24"/>
          <w:lang w:val="en-US" w:eastAsia="zh-CN" w:bidi="ar"/>
        </w:rPr>
        <w:t xml:space="preserve"> </w:t>
      </w:r>
      <w:r>
        <w:rPr>
          <w:rFonts w:hint="eastAsia" w:ascii="微软雅黑" w:hAnsi="微软雅黑" w:eastAsia="微软雅黑" w:cs="微软雅黑"/>
          <w:b/>
          <w:bCs/>
          <w:kern w:val="2"/>
          <w:sz w:val="24"/>
          <w:szCs w:val="24"/>
          <w:lang w:val="en-US" w:eastAsia="zh-CN" w:bidi="ar"/>
        </w:rPr>
        <w:t>争议解决方式</w:t>
      </w:r>
    </w:p>
    <w:p w14:paraId="1A00176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凡因本合同引起的或与本合同有关的任何争议，均提交蚌埠仲裁委员会，按照其届时有效的仲裁规则仲裁解决。仲裁裁决是终局的，对双方均有约束力。</w:t>
      </w:r>
    </w:p>
    <w:p w14:paraId="19FC53E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leftChars="0" w:right="0" w:firstLine="480" w:firstLineChars="200"/>
        <w:jc w:val="both"/>
        <w:textAlignment w:val="auto"/>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b/>
          <w:bCs/>
          <w:kern w:val="2"/>
          <w:sz w:val="24"/>
          <w:szCs w:val="24"/>
          <w:lang w:val="en-US" w:eastAsia="zh-CN" w:bidi="ar"/>
        </w:rPr>
        <w:t>第十一条 其他约定</w:t>
      </w:r>
    </w:p>
    <w:p w14:paraId="0A2FFE37">
      <w:pPr>
        <w:keepNext w:val="0"/>
        <w:keepLines w:val="0"/>
        <w:pageBreakBefore w:val="0"/>
        <w:tabs>
          <w:tab w:val="left" w:pos="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经甲乙双方签章后生效</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50A13B70">
      <w:pPr>
        <w:keepNext w:val="0"/>
        <w:keepLines w:val="0"/>
        <w:pageBreakBefore w:val="0"/>
        <w:tabs>
          <w:tab w:val="left" w:pos="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2.本合同并同搬运作业估价单一式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份，甲乙双方各执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具有同等法律效力</w:t>
      </w:r>
      <w:r>
        <w:rPr>
          <w:rFonts w:hint="eastAsia" w:ascii="微软雅黑" w:hAnsi="微软雅黑" w:eastAsia="微软雅黑" w:cs="微软雅黑"/>
          <w:color w:val="000000" w:themeColor="text1"/>
          <w:sz w:val="24"/>
          <w:szCs w:val="24"/>
          <w14:textFill>
            <w14:solidFill>
              <w14:schemeClr w14:val="tx1"/>
            </w14:solidFill>
          </w14:textFill>
        </w:rPr>
        <w:t>。</w:t>
      </w:r>
    </w:p>
    <w:p w14:paraId="5AC62AAE">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在本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执行过程中，如发现相关事项约定不明确，或者履行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其他事项</w:t>
      </w:r>
      <w:r>
        <w:rPr>
          <w:rFonts w:hint="eastAsia" w:ascii="微软雅黑" w:hAnsi="微软雅黑" w:eastAsia="微软雅黑" w:cs="微软雅黑"/>
          <w:color w:val="000000" w:themeColor="text1"/>
          <w:sz w:val="24"/>
          <w:szCs w:val="24"/>
          <w14:textFill>
            <w14:solidFill>
              <w14:schemeClr w14:val="tx1"/>
            </w14:solidFill>
          </w14:textFill>
        </w:rPr>
        <w:t>受到限制需要增加、调整约定事项的，甲乙双方可对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相关条款进行变更，并签订补充协议或者重新签订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书。</w:t>
      </w:r>
    </w:p>
    <w:p w14:paraId="27880317">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4.送达地址以及送达条款</w:t>
      </w:r>
    </w:p>
    <w:p w14:paraId="5A82E727">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37917C84">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3DAA909E">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3AE9F7F0">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342AF26E">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B76A451">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202DC8D0">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086C9C3">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4A2A22E7">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61DA9508">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2F46428">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46E15E5D">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14A5448D">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6F1B0871">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5C9CEB9C">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25DE86F4">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720E10F7">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2DBD9A19">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6D1F87C3">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202DAAA6">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47B530B8">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140C2F99">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4521C172">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70BBE2FE">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7463912B">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双方同意，本合同项下的通知、函件、诉讼文书等文件，以下列方式送达对方：</w:t>
      </w:r>
    </w:p>
    <w:p w14:paraId="5D82130A">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4018C225">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203A943B">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7D7D0980">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23F50AD8">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4AC1B4E1">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E02F438">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7C19B13A">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1D08B9D1">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0BA8AF45">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5A7920ED">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708E8CF2">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56A0FD07">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1D50E182">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7CAF7028">
      <w:pPr>
        <w:keepNext w:val="0"/>
        <w:keepLines w:val="0"/>
        <w:pageBreakBefore w:val="0"/>
        <w:tabs>
          <w:tab w:val="left" w:pos="0"/>
          <w:tab w:val="left" w:pos="280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3D21AC6C">
      <w:pPr>
        <w:keepNext w:val="0"/>
        <w:keepLines w:val="0"/>
        <w:pageBreakBefore w:val="0"/>
        <w:tabs>
          <w:tab w:val="left" w:pos="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1FB87378">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1949DE19">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563A4DB4">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F5F6ED3">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24D516F">
      <w:pPr>
        <w:keepNext w:val="0"/>
        <w:keepLines w:val="0"/>
        <w:pageBreakBefore w:val="0"/>
        <w:tabs>
          <w:tab w:val="left" w:pos="72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709606E">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76EA3C08">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1352752A">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10A42A57">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1BE1C30C">
      <w:pPr>
        <w:keepNext w:val="0"/>
        <w:keepLines w:val="0"/>
        <w:pageBreakBefore w:val="0"/>
        <w:tabs>
          <w:tab w:val="left" w:pos="72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258F7254">
      <w:pPr>
        <w:keepNext w:val="0"/>
        <w:keepLines w:val="0"/>
        <w:pageBreakBefore w:val="0"/>
        <w:tabs>
          <w:tab w:val="left" w:pos="720"/>
        </w:tabs>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393ED8D">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1A14F030">
      <w:pPr>
        <w:keepNext w:val="0"/>
        <w:keepLines w:val="0"/>
        <w:pageBreakBefore w:val="0"/>
        <w:kinsoku/>
        <w:wordWrap/>
        <w:overflowPunct/>
        <w:topLinePunct w:val="0"/>
        <w:bidi w:val="0"/>
        <w:adjustRightInd/>
        <w:snapToGrid/>
        <w:spacing w:line="360" w:lineRule="auto"/>
        <w:ind w:left="0" w:leftChars="0" w:firstLine="480" w:firstLineChars="200"/>
        <w:textAlignment w:val="auto"/>
        <w:rPr>
          <w:rFonts w:hint="eastAsia" w:ascii="楷体" w:hAnsi="楷体" w:eastAsia="楷体" w:cs="楷体"/>
          <w:sz w:val="28"/>
          <w:szCs w:val="28"/>
        </w:rPr>
      </w:pPr>
      <w:r>
        <w:rPr>
          <w:rFonts w:hint="eastAsia" w:ascii="微软雅黑" w:hAnsi="微软雅黑" w:eastAsia="微软雅黑" w:cs="微软雅黑"/>
          <w:color w:val="000000" w:themeColor="text1"/>
          <w:sz w:val="24"/>
          <w:szCs w:val="24"/>
          <w14:textFill>
            <w14:solidFill>
              <w14:schemeClr w14:val="tx1"/>
            </w14:solidFill>
          </w14:textFill>
        </w:rPr>
        <w:t>签订地点：</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65C1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AE11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1AE116">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59342A54"/>
    <w:rsid w:val="29C8498C"/>
    <w:rsid w:val="3EB92D70"/>
    <w:rsid w:val="3FA737FD"/>
    <w:rsid w:val="54021DEB"/>
    <w:rsid w:val="575C4CC0"/>
    <w:rsid w:val="59342A54"/>
    <w:rsid w:val="6533222F"/>
    <w:rsid w:val="6E245399"/>
    <w:rsid w:val="6FFBB188"/>
    <w:rsid w:val="76391958"/>
    <w:rsid w:val="7B533B9A"/>
    <w:rsid w:val="FFFF5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9"/>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等线"/>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rPr>
  </w:style>
  <w:style w:type="paragraph" w:styleId="4">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szCs w:val="24"/>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标题 3 字符"/>
    <w:basedOn w:val="8"/>
    <w:link w:val="2"/>
    <w:qFormat/>
    <w:uiPriority w:val="0"/>
    <w:rPr>
      <w:b/>
      <w:bCs/>
      <w:sz w:val="32"/>
      <w:szCs w:val="32"/>
    </w:rPr>
  </w:style>
  <w:style w:type="character" w:customStyle="1" w:styleId="10">
    <w:name w:val="页眉 字符"/>
    <w:basedOn w:val="8"/>
    <w:link w:val="4"/>
    <w:qFormat/>
    <w:uiPriority w:val="0"/>
    <w:rPr>
      <w:sz w:val="18"/>
      <w:szCs w:val="18"/>
    </w:rPr>
  </w:style>
  <w:style w:type="character" w:customStyle="1" w:styleId="11">
    <w:name w:val="页脚 字符"/>
    <w:basedOn w:val="8"/>
    <w:link w:val="3"/>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2649</Words>
  <Characters>2672</Characters>
  <Lines>0</Lines>
  <Paragraphs>0</Paragraphs>
  <TotalTime>20</TotalTime>
  <ScaleCrop>false</ScaleCrop>
  <LinksUpToDate>false</LinksUpToDate>
  <CharactersWithSpaces>3195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2023-07-04T23:39:00Z</dcterms:created>
  <dc:creator>差不多先生</dc:creator>
  <cp:lastModifiedBy>豪</cp:lastModifiedBy>
  <dcterms:modified xsi:type="dcterms:W3CDTF">2026-03-22T07:12:10Z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7D8A954289FA4591910B760587BB6C55_11</vt:lpwstr>
  </property>
  <property fmtid="{D5CDD505-2E9C-101B-9397-08002B2CF9AE}" pid="4" name="KSOTemplateDocerSaveRecord">
    <vt:lpwstr>eyJoZGlkIjoiNTg0MzMyNGJiMDEzODc5ODNlMGVjODViOWRkZjg1MDgiLCJ1c2VySWQiOiIxMjc2Mzc3NjgxIn0=</vt:lpwstr>
  </property>
</Properties>
</file>