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C80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水陆联运货物运输合同</w:t>
      </w:r>
    </w:p>
    <w:bookmarkEnd w:id="0"/>
    <w:p w14:paraId="0EE25B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合同签订地：</w:t>
      </w:r>
    </w:p>
    <w:p w14:paraId="2EC461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托运人：</w:t>
      </w:r>
    </w:p>
    <w:p w14:paraId="2E418B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承运人：</w:t>
      </w:r>
    </w:p>
    <w:p w14:paraId="0A3379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收货人：</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话：</w:t>
      </w:r>
    </w:p>
    <w:p w14:paraId="6F216F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收货人详细地址：</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编:</w:t>
      </w:r>
    </w:p>
    <w:p w14:paraId="032C4D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根据民法典及国家有关规定，经双方充分协商，订立本合同，以便双方共同遵守。</w:t>
      </w:r>
    </w:p>
    <w:p w14:paraId="33505C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 货物名称、规格、单位</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数量、价款</w:t>
      </w:r>
    </w:p>
    <w:tbl>
      <w:tblPr>
        <w:tblStyle w:val="3"/>
        <w:tblW w:w="0" w:type="auto"/>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872"/>
        <w:gridCol w:w="1440"/>
        <w:gridCol w:w="576"/>
        <w:gridCol w:w="1008"/>
        <w:gridCol w:w="720"/>
        <w:gridCol w:w="1152"/>
      </w:tblGrid>
      <w:tr w14:paraId="3058FA3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BA673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货物名称</w:t>
            </w: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05C766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规</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格</w:t>
            </w: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526CCB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单位</w:t>
            </w: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327DB2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单</w:t>
            </w:r>
            <w:r>
              <w:rPr>
                <w:rFonts w:hint="eastAsia" w:ascii="微软雅黑" w:hAnsi="微软雅黑" w:eastAsia="微软雅黑" w:cs="微软雅黑"/>
                <w:caps w:val="0"/>
                <w:color w:val="848484"/>
                <w:spacing w:val="0"/>
                <w:sz w:val="24"/>
                <w:szCs w:val="24"/>
                <w:lang w:eastAsia="zh-CN"/>
              </w:rPr>
              <w:t xml:space="preserve"> </w:t>
            </w:r>
            <w:r>
              <w:rPr>
                <w:rFonts w:hint="eastAsia" w:ascii="微软雅黑" w:hAnsi="微软雅黑" w:eastAsia="微软雅黑" w:cs="微软雅黑"/>
                <w:caps w:val="0"/>
                <w:color w:val="848484"/>
                <w:spacing w:val="0"/>
                <w:sz w:val="24"/>
                <w:szCs w:val="24"/>
              </w:rPr>
              <w:t xml:space="preserve"> 价</w:t>
            </w: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38D401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数量</w:t>
            </w: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55D492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金额（元）</w:t>
            </w:r>
          </w:p>
        </w:tc>
      </w:tr>
      <w:tr w14:paraId="23C4D4C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453159B9">
            <w:pPr>
              <w:rPr>
                <w:rFonts w:hint="eastAsia" w:ascii="微软雅黑" w:hAnsi="微软雅黑" w:eastAsia="微软雅黑" w:cs="微软雅黑"/>
                <w:caps w:val="0"/>
                <w:color w:val="000000"/>
                <w:spacing w:val="0"/>
                <w:sz w:val="24"/>
                <w:szCs w:val="24"/>
              </w:rPr>
            </w:pP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CA9A88F">
            <w:pPr>
              <w:rPr>
                <w:rFonts w:hint="eastAsia" w:ascii="微软雅黑" w:hAnsi="微软雅黑" w:eastAsia="微软雅黑" w:cs="微软雅黑"/>
                <w:caps w:val="0"/>
                <w:color w:val="000000"/>
                <w:spacing w:val="0"/>
                <w:sz w:val="24"/>
                <w:szCs w:val="24"/>
              </w:rPr>
            </w:pP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6D3A88E">
            <w:pPr>
              <w:rPr>
                <w:rFonts w:hint="eastAsia" w:ascii="微软雅黑" w:hAnsi="微软雅黑" w:eastAsia="微软雅黑" w:cs="微软雅黑"/>
                <w:caps w:val="0"/>
                <w:color w:val="000000"/>
                <w:spacing w:val="0"/>
                <w:sz w:val="24"/>
                <w:szCs w:val="24"/>
              </w:rPr>
            </w:pP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434F75AA">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4E2AC9C3">
            <w:pPr>
              <w:rPr>
                <w:rFonts w:hint="eastAsia" w:ascii="微软雅黑" w:hAnsi="微软雅黑" w:eastAsia="微软雅黑" w:cs="微软雅黑"/>
                <w:caps w:val="0"/>
                <w:color w:val="000000"/>
                <w:spacing w:val="0"/>
                <w:sz w:val="24"/>
                <w:szCs w:val="24"/>
              </w:rPr>
            </w:pP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AE2FB25">
            <w:pPr>
              <w:rPr>
                <w:rFonts w:hint="eastAsia" w:ascii="微软雅黑" w:hAnsi="微软雅黑" w:eastAsia="微软雅黑" w:cs="微软雅黑"/>
                <w:caps w:val="0"/>
                <w:color w:val="000000"/>
                <w:spacing w:val="0"/>
                <w:sz w:val="24"/>
                <w:szCs w:val="24"/>
              </w:rPr>
            </w:pPr>
          </w:p>
        </w:tc>
      </w:tr>
      <w:tr w14:paraId="3D7EAA7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592E0EB5">
            <w:pPr>
              <w:rPr>
                <w:rFonts w:hint="eastAsia" w:ascii="微软雅黑" w:hAnsi="微软雅黑" w:eastAsia="微软雅黑" w:cs="微软雅黑"/>
                <w:caps w:val="0"/>
                <w:color w:val="000000"/>
                <w:spacing w:val="0"/>
                <w:sz w:val="24"/>
                <w:szCs w:val="24"/>
              </w:rPr>
            </w:pP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EBF086B">
            <w:pPr>
              <w:rPr>
                <w:rFonts w:hint="eastAsia" w:ascii="微软雅黑" w:hAnsi="微软雅黑" w:eastAsia="微软雅黑" w:cs="微软雅黑"/>
                <w:caps w:val="0"/>
                <w:color w:val="000000"/>
                <w:spacing w:val="0"/>
                <w:sz w:val="24"/>
                <w:szCs w:val="24"/>
              </w:rPr>
            </w:pP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DA437F2">
            <w:pPr>
              <w:rPr>
                <w:rFonts w:hint="eastAsia" w:ascii="微软雅黑" w:hAnsi="微软雅黑" w:eastAsia="微软雅黑" w:cs="微软雅黑"/>
                <w:caps w:val="0"/>
                <w:color w:val="000000"/>
                <w:spacing w:val="0"/>
                <w:sz w:val="24"/>
                <w:szCs w:val="24"/>
              </w:rPr>
            </w:pP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center"/>
          </w:tcPr>
          <w:p w14:paraId="6F09AF52">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669AA36B">
            <w:pPr>
              <w:rPr>
                <w:rFonts w:hint="eastAsia" w:ascii="微软雅黑" w:hAnsi="微软雅黑" w:eastAsia="微软雅黑" w:cs="微软雅黑"/>
                <w:caps w:val="0"/>
                <w:color w:val="000000"/>
                <w:spacing w:val="0"/>
                <w:sz w:val="24"/>
                <w:szCs w:val="24"/>
              </w:rPr>
            </w:pP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60FE428">
            <w:pPr>
              <w:rPr>
                <w:rFonts w:hint="eastAsia" w:ascii="微软雅黑" w:hAnsi="微软雅黑" w:eastAsia="微软雅黑" w:cs="微软雅黑"/>
                <w:caps w:val="0"/>
                <w:color w:val="000000"/>
                <w:spacing w:val="0"/>
                <w:sz w:val="24"/>
                <w:szCs w:val="24"/>
              </w:rPr>
            </w:pPr>
          </w:p>
        </w:tc>
      </w:tr>
      <w:tr w14:paraId="354AF43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47519EC3">
            <w:pPr>
              <w:rPr>
                <w:rFonts w:hint="eastAsia" w:ascii="微软雅黑" w:hAnsi="微软雅黑" w:eastAsia="微软雅黑" w:cs="微软雅黑"/>
                <w:caps w:val="0"/>
                <w:color w:val="000000"/>
                <w:spacing w:val="0"/>
                <w:sz w:val="24"/>
                <w:szCs w:val="24"/>
              </w:rPr>
            </w:pP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3227F264">
            <w:pPr>
              <w:rPr>
                <w:rFonts w:hint="eastAsia" w:ascii="微软雅黑" w:hAnsi="微软雅黑" w:eastAsia="微软雅黑" w:cs="微软雅黑"/>
                <w:caps w:val="0"/>
                <w:color w:val="000000"/>
                <w:spacing w:val="0"/>
                <w:sz w:val="24"/>
                <w:szCs w:val="24"/>
              </w:rPr>
            </w:pP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F3B6CD7">
            <w:pPr>
              <w:rPr>
                <w:rFonts w:hint="eastAsia" w:ascii="微软雅黑" w:hAnsi="微软雅黑" w:eastAsia="微软雅黑" w:cs="微软雅黑"/>
                <w:caps w:val="0"/>
                <w:color w:val="000000"/>
                <w:spacing w:val="0"/>
                <w:sz w:val="24"/>
                <w:szCs w:val="24"/>
              </w:rPr>
            </w:pP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6BBBA8C9">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64F25036">
            <w:pPr>
              <w:rPr>
                <w:rFonts w:hint="eastAsia" w:ascii="微软雅黑" w:hAnsi="微软雅黑" w:eastAsia="微软雅黑" w:cs="微软雅黑"/>
                <w:caps w:val="0"/>
                <w:color w:val="000000"/>
                <w:spacing w:val="0"/>
                <w:sz w:val="24"/>
                <w:szCs w:val="24"/>
              </w:rPr>
            </w:pP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1FDE0CA">
            <w:pPr>
              <w:rPr>
                <w:rFonts w:hint="eastAsia" w:ascii="微软雅黑" w:hAnsi="微软雅黑" w:eastAsia="微软雅黑" w:cs="微软雅黑"/>
                <w:caps w:val="0"/>
                <w:color w:val="000000"/>
                <w:spacing w:val="0"/>
                <w:sz w:val="24"/>
                <w:szCs w:val="24"/>
              </w:rPr>
            </w:pPr>
          </w:p>
        </w:tc>
      </w:tr>
      <w:tr w14:paraId="5CF2EDA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D1DBDC2">
            <w:pPr>
              <w:rPr>
                <w:rFonts w:hint="eastAsia" w:ascii="微软雅黑" w:hAnsi="微软雅黑" w:eastAsia="微软雅黑" w:cs="微软雅黑"/>
                <w:caps w:val="0"/>
                <w:color w:val="000000"/>
                <w:spacing w:val="0"/>
                <w:sz w:val="24"/>
                <w:szCs w:val="24"/>
              </w:rPr>
            </w:pP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0885F60E">
            <w:pPr>
              <w:rPr>
                <w:rFonts w:hint="eastAsia" w:ascii="微软雅黑" w:hAnsi="微软雅黑" w:eastAsia="微软雅黑" w:cs="微软雅黑"/>
                <w:caps w:val="0"/>
                <w:color w:val="000000"/>
                <w:spacing w:val="0"/>
                <w:sz w:val="24"/>
                <w:szCs w:val="24"/>
              </w:rPr>
            </w:pP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0095615">
            <w:pPr>
              <w:rPr>
                <w:rFonts w:hint="eastAsia" w:ascii="微软雅黑" w:hAnsi="微软雅黑" w:eastAsia="微软雅黑" w:cs="微软雅黑"/>
                <w:caps w:val="0"/>
                <w:color w:val="000000"/>
                <w:spacing w:val="0"/>
                <w:sz w:val="24"/>
                <w:szCs w:val="24"/>
              </w:rPr>
            </w:pP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E4641BE">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6904AC46">
            <w:pPr>
              <w:rPr>
                <w:rFonts w:hint="eastAsia" w:ascii="微软雅黑" w:hAnsi="微软雅黑" w:eastAsia="微软雅黑" w:cs="微软雅黑"/>
                <w:caps w:val="0"/>
                <w:color w:val="000000"/>
                <w:spacing w:val="0"/>
                <w:sz w:val="24"/>
                <w:szCs w:val="24"/>
              </w:rPr>
            </w:pP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2C843196">
            <w:pPr>
              <w:rPr>
                <w:rFonts w:hint="eastAsia" w:ascii="微软雅黑" w:hAnsi="微软雅黑" w:eastAsia="微软雅黑" w:cs="微软雅黑"/>
                <w:caps w:val="0"/>
                <w:color w:val="000000"/>
                <w:spacing w:val="0"/>
                <w:sz w:val="24"/>
                <w:szCs w:val="24"/>
              </w:rPr>
            </w:pPr>
          </w:p>
        </w:tc>
      </w:tr>
      <w:tr w14:paraId="5FFBD6F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0A1D589D">
            <w:pPr>
              <w:rPr>
                <w:rFonts w:hint="eastAsia" w:ascii="微软雅黑" w:hAnsi="微软雅黑" w:eastAsia="微软雅黑" w:cs="微软雅黑"/>
                <w:caps w:val="0"/>
                <w:color w:val="000000"/>
                <w:spacing w:val="0"/>
                <w:sz w:val="24"/>
                <w:szCs w:val="24"/>
              </w:rPr>
            </w:pPr>
          </w:p>
        </w:tc>
        <w:tc>
          <w:tcPr>
            <w:tcW w:w="144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6FFE57B">
            <w:pPr>
              <w:rPr>
                <w:rFonts w:hint="eastAsia" w:ascii="微软雅黑" w:hAnsi="微软雅黑" w:eastAsia="微软雅黑" w:cs="微软雅黑"/>
                <w:caps w:val="0"/>
                <w:color w:val="000000"/>
                <w:spacing w:val="0"/>
                <w:sz w:val="24"/>
                <w:szCs w:val="24"/>
              </w:rPr>
            </w:pPr>
          </w:p>
        </w:tc>
        <w:tc>
          <w:tcPr>
            <w:tcW w:w="576"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041AF5BD">
            <w:pPr>
              <w:rPr>
                <w:rFonts w:hint="eastAsia" w:ascii="微软雅黑" w:hAnsi="微软雅黑" w:eastAsia="微软雅黑" w:cs="微软雅黑"/>
                <w:caps w:val="0"/>
                <w:color w:val="000000"/>
                <w:spacing w:val="0"/>
                <w:sz w:val="24"/>
                <w:szCs w:val="24"/>
              </w:rPr>
            </w:pPr>
          </w:p>
        </w:tc>
        <w:tc>
          <w:tcPr>
            <w:tcW w:w="1008"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6494BE56">
            <w:pPr>
              <w:rPr>
                <w:rFonts w:hint="eastAsia" w:ascii="微软雅黑" w:hAnsi="微软雅黑" w:eastAsia="微软雅黑" w:cs="微软雅黑"/>
                <w:caps w:val="0"/>
                <w:color w:val="000000"/>
                <w:spacing w:val="0"/>
                <w:sz w:val="24"/>
                <w:szCs w:val="24"/>
              </w:rPr>
            </w:pPr>
          </w:p>
        </w:tc>
        <w:tc>
          <w:tcPr>
            <w:tcW w:w="720"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449F4127">
            <w:pPr>
              <w:rPr>
                <w:rFonts w:hint="eastAsia" w:ascii="微软雅黑" w:hAnsi="微软雅黑" w:eastAsia="微软雅黑" w:cs="微软雅黑"/>
                <w:caps w:val="0"/>
                <w:color w:val="000000"/>
                <w:spacing w:val="0"/>
                <w:sz w:val="24"/>
                <w:szCs w:val="24"/>
              </w:rPr>
            </w:pPr>
          </w:p>
        </w:tc>
        <w:tc>
          <w:tcPr>
            <w:tcW w:w="115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A3ED656">
            <w:pPr>
              <w:rPr>
                <w:rFonts w:hint="eastAsia" w:ascii="微软雅黑" w:hAnsi="微软雅黑" w:eastAsia="微软雅黑" w:cs="微软雅黑"/>
                <w:caps w:val="0"/>
                <w:color w:val="000000"/>
                <w:spacing w:val="0"/>
                <w:sz w:val="24"/>
                <w:szCs w:val="24"/>
              </w:rPr>
            </w:pPr>
          </w:p>
        </w:tc>
      </w:tr>
      <w:tr w14:paraId="2855391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20" w:hRule="atLeast"/>
        </w:trPr>
        <w:tc>
          <w:tcPr>
            <w:tcW w:w="1872" w:type="dxa"/>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326AFB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合计</w:t>
            </w:r>
          </w:p>
        </w:tc>
        <w:tc>
          <w:tcPr>
            <w:tcW w:w="4896" w:type="dxa"/>
            <w:gridSpan w:val="5"/>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3DC2B1F6">
            <w:pPr>
              <w:rPr>
                <w:rFonts w:hint="eastAsia" w:ascii="微软雅黑" w:hAnsi="微软雅黑" w:eastAsia="微软雅黑" w:cs="微软雅黑"/>
                <w:caps w:val="0"/>
                <w:color w:val="000000"/>
                <w:spacing w:val="0"/>
                <w:sz w:val="24"/>
                <w:szCs w:val="24"/>
              </w:rPr>
            </w:pPr>
          </w:p>
        </w:tc>
      </w:tr>
      <w:tr w14:paraId="3243841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20" w:hRule="atLeast"/>
        </w:trPr>
        <w:tc>
          <w:tcPr>
            <w:tcW w:w="6768" w:type="dxa"/>
            <w:gridSpan w:val="6"/>
            <w:tcBorders>
              <w:top w:val="outset" w:color="auto" w:sz="6" w:space="0"/>
              <w:left w:val="outset" w:color="auto" w:sz="6" w:space="0"/>
              <w:bottom w:val="dashed" w:color="CCCCCC" w:sz="4" w:space="0"/>
              <w:right w:val="outset" w:color="auto" w:sz="6" w:space="0"/>
            </w:tcBorders>
            <w:shd w:val="clear" w:color="auto" w:fill="FFFFFF"/>
            <w:tcMar>
              <w:left w:w="60" w:type="dxa"/>
            </w:tcMar>
            <w:vAlign w:val="top"/>
          </w:tcPr>
          <w:p w14:paraId="770A35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rPr>
                <w:rFonts w:hint="eastAsia" w:ascii="微软雅黑" w:hAnsi="微软雅黑" w:eastAsia="微软雅黑" w:cs="微软雅黑"/>
                <w:color w:val="848484"/>
                <w:sz w:val="24"/>
                <w:szCs w:val="24"/>
              </w:rPr>
            </w:pPr>
            <w:r>
              <w:rPr>
                <w:rFonts w:hint="eastAsia" w:ascii="微软雅黑" w:hAnsi="微软雅黑" w:eastAsia="微软雅黑" w:cs="微软雅黑"/>
                <w:caps w:val="0"/>
                <w:color w:val="848484"/>
                <w:spacing w:val="0"/>
                <w:sz w:val="24"/>
                <w:szCs w:val="24"/>
              </w:rPr>
              <w:t>合同金额（大写）：</w:t>
            </w:r>
          </w:p>
        </w:tc>
      </w:tr>
    </w:tbl>
    <w:p w14:paraId="27136B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 包装要求</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托运人必须按照国家规定的标准进行包装，没有统一标准的，应根据保证货物运输安全的原则进行简易包装，否则，承运人有权拒绝承运。</w:t>
      </w:r>
    </w:p>
    <w:p w14:paraId="129C7D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 货物运输方式</w:t>
      </w:r>
    </w:p>
    <w:p w14:paraId="219BED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（一）货物起运地点：</w:t>
      </w:r>
    </w:p>
    <w:p w14:paraId="1CACB3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（二）货物转运地点：</w:t>
      </w:r>
    </w:p>
    <w:p w14:paraId="0F67B3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（三）货物到达地点：</w:t>
      </w:r>
    </w:p>
    <w:p w14:paraId="5B4497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 货物运输期限：</w:t>
      </w:r>
    </w:p>
    <w:p w14:paraId="712B56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（一）货物承运日期：</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158838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（二）货物转运日期：</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76D59A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（三）货物运到日期：</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月</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w:t>
      </w:r>
    </w:p>
    <w:p w14:paraId="4BB770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 运输质量及安全要求：</w:t>
      </w:r>
    </w:p>
    <w:p w14:paraId="39E292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 货物装卸责任及方法：</w:t>
      </w:r>
    </w:p>
    <w:p w14:paraId="71DBE1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 收货人领取货物及验收办法：</w:t>
      </w:r>
    </w:p>
    <w:p w14:paraId="0BBD36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 运输费用：</w:t>
      </w:r>
    </w:p>
    <w:p w14:paraId="2F9BFC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运输费用按照以下方式进行结算：现金□</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转 帐□</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支票□</w:t>
      </w:r>
    </w:p>
    <w:p w14:paraId="1A176F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 双方的权利义务</w:t>
      </w:r>
    </w:p>
    <w:p w14:paraId="70576F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(一)托运人的权利义务</w:t>
      </w:r>
    </w:p>
    <w:p w14:paraId="3C0018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托运人的权利：要求承运人按照合同规定的时间、地点，把货物运输到目的地。货物托运后，托运人需要变更到货地点或收货人时，有权向承运人提出变更合同的内容或解除合同的要求。但必须在货物未运到目的地之前通知承运人，并应按有关规定付给承运人所需费用。</w:t>
      </w:r>
    </w:p>
    <w:p w14:paraId="716DC6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托运人的义务：按约定向承运人交付运杂费。否则，承运人有权停止运输，并要求对方支付违约金。托运人对托运的货物，应按照规定的标准进行包装，遵守有关危险运输的规定，按照合同中规定的时间和数量交付托运货物。</w:t>
      </w:r>
    </w:p>
    <w:p w14:paraId="310331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(二)承运人的权利义务</w:t>
      </w:r>
    </w:p>
    <w:p w14:paraId="3CA95F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1、承运人的权利：向托运人、收货人收取运杂费用。如果收货人不交或不按时交纳规定的各项运杂费，承运人有权对其货物进行留置（</w:t>
      </w:r>
      <w:r>
        <w:rPr>
          <w:rStyle w:val="6"/>
          <w:rFonts w:hint="eastAsia" w:ascii="微软雅黑" w:hAnsi="微软雅黑" w:eastAsia="微软雅黑" w:cs="微软雅黑"/>
          <w:i w:val="0"/>
          <w:caps w:val="0"/>
          <w:color w:val="000000"/>
          <w:spacing w:val="0"/>
          <w:sz w:val="24"/>
          <w:szCs w:val="24"/>
          <w:shd w:val="clear" w:fill="FFFFFF"/>
        </w:rPr>
        <w:t>注：对于留置约定各单位根据具体情况适用）</w:t>
      </w:r>
      <w:r>
        <w:rPr>
          <w:rFonts w:hint="eastAsia" w:ascii="微软雅黑" w:hAnsi="微软雅黑" w:eastAsia="微软雅黑" w:cs="微软雅黑"/>
          <w:caps w:val="0"/>
          <w:color w:val="000000"/>
          <w:spacing w:val="0"/>
          <w:sz w:val="24"/>
          <w:szCs w:val="24"/>
          <w:shd w:val="clear" w:fill="FFFFFF"/>
        </w:rPr>
        <w:t>。查不到收货人或收货人拒绝提取货物，承运人应及时与托运人联系，在规定期限内负责保管并有权收取保管费用，对于超过规定期限仍无法交付的货物，承运人有权按有关规定予以处理。</w:t>
      </w:r>
    </w:p>
    <w:p w14:paraId="16B0B0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承运人的义务：在合同规定的期限内，将货物运送到指定地点，按时向收货人发出货物到达的通知。对托运的货物要负责安全，保证货物无短缺、无损坏、无人为的变质，否则应承担赔偿义务。在货物到达后，按规定的期限，负责保管。</w:t>
      </w:r>
    </w:p>
    <w:p w14:paraId="3927CD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(三)收货人的权利义务</w:t>
      </w:r>
    </w:p>
    <w:p w14:paraId="41DA22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1、收货人的权利：在货物运到指定地点后有以凭证领取货物的权利。必要时，收货人有权向到站、或中途货物所在站提出变更到站或变更收货人的要求，签订变更协议。</w:t>
      </w:r>
    </w:p>
    <w:p w14:paraId="556367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2、收货人的义务：在接到提货通知后，按时提取货物，缴清应付费用。超过规定提货时，向承运人交付保管费。</w:t>
      </w:r>
    </w:p>
    <w:p w14:paraId="50F75A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 违约责任</w:t>
      </w:r>
    </w:p>
    <w:p w14:paraId="32CFA7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(一)托运人责任</w:t>
      </w:r>
    </w:p>
    <w:p w14:paraId="1A92A5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1、托运人未按合同规定的时间和要求提供托运的货物，应按其价值的</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％偿付给承运方违约金。</w:t>
      </w:r>
    </w:p>
    <w:p w14:paraId="5DE5B0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2、由于在普通货物中夹带、匿报危险货物，错报笨重货物重量等而招致吊具断裂、货物摔损、爆炸、腐蚀等事故，托运人应承担赔偿责任。</w:t>
      </w:r>
    </w:p>
    <w:p w14:paraId="53BEC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3、由于货物包装缺陷产生破损，致使其他货物或运输工具，机械设备被污染腐蚀、损坏，造成人身伤亡的，托运人应承担赔偿责任。</w:t>
      </w:r>
    </w:p>
    <w:p w14:paraId="504149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4、在托运人专用线或在港、站公用线、专用铁道自装的货物，在到站卸货时，发现货物损坏，缺少，在车辆施封完好及无异味的情况下，托运人应赔偿收货人的损失。</w:t>
      </w:r>
    </w:p>
    <w:p w14:paraId="41D894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5、罐车发运货物，因未随车附带规格质量证明或化验报告，造成收货人无法卸货时，托运人应偿付承运人卸车等存费及违约金。</w:t>
      </w:r>
    </w:p>
    <w:p w14:paraId="052DAD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（二）承运人的责任</w:t>
      </w:r>
    </w:p>
    <w:p w14:paraId="1C11BF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1、不按规定时间和要求配车（船）发运的承运人应偿付托运人违约金</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w:t>
      </w:r>
    </w:p>
    <w:p w14:paraId="2CF0F3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2、承运人如将货物错运到货地点或收货人，应无偿运至合同规定的到货地点或收货人，如货物逾期到达，承运人应偿付逾期交货的违约金</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元。</w:t>
      </w:r>
    </w:p>
    <w:p w14:paraId="623CE1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3、运输过程中货物发生灭失、短少、变质、污染、损坏，承运人应按货物的实际损失（包括包装费、运杂费）赔偿托运人。</w:t>
      </w:r>
    </w:p>
    <w:p w14:paraId="2D4796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4、联运的货物发生灭失、短少、污染、损坏，首先由终点阶段的承运方向托运人承担赔偿责任，然后由终点阶段的承运人向其他有过错的承运人进行追偿。</w:t>
      </w:r>
    </w:p>
    <w:p w14:paraId="2E519F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5、有下列情形之一，承运人不承担赔偿责任：</w:t>
      </w:r>
    </w:p>
    <w:p w14:paraId="2E4D58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（1）不可抗力；</w:t>
      </w:r>
    </w:p>
    <w:p w14:paraId="0BF8CD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（2）货物本身的自然属性；</w:t>
      </w:r>
    </w:p>
    <w:p w14:paraId="5753A9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（3）货物的合理损耗；</w:t>
      </w:r>
    </w:p>
    <w:p w14:paraId="6C8131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（4）托运人本身存在过错。</w:t>
      </w:r>
    </w:p>
    <w:p w14:paraId="4F146C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 本合同在履行过程中发生争议，按提交</w:t>
      </w:r>
      <w:r>
        <w:rPr>
          <w:rFonts w:hint="eastAsia" w:ascii="微软雅黑" w:hAnsi="微软雅黑" w:eastAsia="微软雅黑" w:cs="微软雅黑"/>
          <w:caps w:val="0"/>
          <w:color w:val="000000"/>
          <w:spacing w:val="0"/>
          <w:sz w:val="24"/>
          <w:szCs w:val="24"/>
          <w:u w:val="single"/>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3545EC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第十二条 送达地址以及送达条款</w:t>
      </w:r>
    </w:p>
    <w:p w14:paraId="5369B6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487135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73F2D1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3678C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4A3BF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9540D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BC431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DEA5D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5048D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30946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B19F7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D8F4C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0F011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02CA4E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6B94D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B7F7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7625C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ECED6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17C9F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49DBA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F634C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5065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17EC2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5E865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A06AB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0FCB60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CB635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07FFE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8C762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219236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0083F8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58DE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14B6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F949A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51C409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43ED33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18DA39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7725C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7A183A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3B93A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 本合同未尽事宜，双方协商解决。</w:t>
      </w:r>
    </w:p>
    <w:p w14:paraId="06003B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 本合同一式陆份，双方各执叁份，自双方代表签字、盖章后生效。</w:t>
      </w:r>
    </w:p>
    <w:p w14:paraId="69FB25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p>
    <w:p w14:paraId="597E4F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 其他约定</w:t>
      </w:r>
    </w:p>
    <w:p w14:paraId="6A03E5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托运人：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承运人：</w:t>
      </w:r>
    </w:p>
    <w:p w14:paraId="58808B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法定代表人：</w:t>
      </w:r>
    </w:p>
    <w:p w14:paraId="64CAE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委托代表人：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委托代表人：</w:t>
      </w:r>
    </w:p>
    <w:p w14:paraId="0DFE44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邮政编码：</w:t>
      </w:r>
    </w:p>
    <w:p w14:paraId="104311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址：</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地</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址：</w:t>
      </w:r>
    </w:p>
    <w:p w14:paraId="16CCD9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话：</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话：</w:t>
      </w:r>
    </w:p>
    <w:p w14:paraId="167B07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开户银行：</w:t>
      </w:r>
    </w:p>
    <w:p w14:paraId="5EF9F1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帐</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号：</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帐</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号：</w:t>
      </w:r>
    </w:p>
    <w:p w14:paraId="215883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签订时间：</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签订时间：</w:t>
      </w:r>
    </w:p>
    <w:p w14:paraId="2C39128A">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3209DB"/>
    <w:rsid w:val="638E7ED4"/>
    <w:rsid w:val="6AF16118"/>
    <w:rsid w:val="6BA4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2643</Words>
  <Characters>2645</Characters>
  <Lines>0</Lines>
  <Paragraphs>0</Paragraphs>
  <TotalTime>2</TotalTime>
  <ScaleCrop>false</ScaleCrop>
  <LinksUpToDate>false</LinksUpToDate>
  <CharactersWithSpaces>3219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2024-10-11T07:16:00Z</dcterms:created>
  <dc:creator>37388</dc:creator>
  <cp:lastModifiedBy>豪</cp:lastModifiedBy>
  <dcterms:modified xsi:type="dcterms:W3CDTF">2026-03-22T07:22:41Z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4E057F7F72E044889D5F615FAAC496C4_12</vt:lpwstr>
  </property>
  <property fmtid="{D5CDD505-2E9C-101B-9397-08002B2CF9AE}" pid="4" name="KSOTemplateDocerSaveRecord">
    <vt:lpwstr>eyJoZGlkIjoiNTg0MzMyNGJiMDEzODc5ODNlMGVjODViOWRkZjg1MDgiLCJ1c2VySWQiOiIxMjc2Mzc3NjgxIn0=</vt:lpwstr>
  </property>
</Properties>
</file>