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5B29B92F">
      <w:pPr>
        <w:pageBreakBefore w:val="0"/>
        <w:kinsoku/>
        <w:wordWrap/>
        <w:overflowPunct/>
        <w:topLinePunct w:val="0"/>
        <w:bidi w:val="0"/>
        <w:adjustRightInd/>
        <w:snapToGrid/>
        <w:spacing w:line="360" w:lineRule="auto"/>
        <w:jc w:val="center"/>
        <w:textAlignment w:val="auto"/>
        <w:rPr>
          <w:rFonts w:hint="eastAsia" w:ascii="微软雅黑" w:hAnsi="微软雅黑" w:eastAsia="微软雅黑" w:cs="微软雅黑"/>
          <w:b/>
          <w:bCs/>
          <w:sz w:val="36"/>
          <w:szCs w:val="36"/>
          <w:lang w:val="en-US" w:eastAsia="zh-CN"/>
        </w:rPr>
      </w:pPr>
      <w:bookmarkStart w:id="0" w:name="_GoBack"/>
    </w:p>
    <w:p w14:paraId="1D2C153D">
      <w:pPr>
        <w:pStyle w:val="2"/>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hint="eastAsia" w:ascii="微软雅黑" w:hAnsi="微软雅黑" w:eastAsia="微软雅黑" w:cs="微软雅黑"/>
          <w:b/>
          <w:bCs/>
          <w:spacing w:val="57"/>
          <w:sz w:val="36"/>
          <w:szCs w:val="36"/>
          <w:lang w:val="en-US"/>
        </w:rPr>
      </w:pPr>
      <w:r>
        <w:rPr>
          <w:rFonts w:hint="eastAsia" w:ascii="微软雅黑" w:hAnsi="微软雅黑" w:eastAsia="微软雅黑" w:cs="微软雅黑"/>
          <w:b/>
          <w:bCs/>
          <w:spacing w:val="57"/>
          <w:sz w:val="36"/>
          <w:szCs w:val="36"/>
          <w:lang w:eastAsia="zh-CN"/>
        </w:rPr>
        <w:t>汽车货物运输合同</w:t>
      </w:r>
    </w:p>
    <w:bookmarkEnd w:id="0"/>
    <w:p w14:paraId="15E0DC7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0" w:firstLineChars="0"/>
        <w:jc w:val="both"/>
        <w:textAlignment w:val="auto"/>
        <w:rPr>
          <w:rFonts w:hint="eastAsia" w:ascii="微软雅黑" w:hAnsi="微软雅黑" w:eastAsia="微软雅黑" w:cs="微软雅黑"/>
          <w:kern w:val="2"/>
          <w:sz w:val="24"/>
          <w:szCs w:val="24"/>
          <w:lang w:val="en-US" w:eastAsia="zh-CN" w:bidi="ar"/>
        </w:rPr>
      </w:pPr>
    </w:p>
    <w:p w14:paraId="5CE80AE9">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甲方(</w:t>
      </w: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托运人</w:t>
      </w:r>
      <w:r>
        <w:rPr>
          <w:rFonts w:hint="eastAsia" w:ascii="微软雅黑" w:hAnsi="微软雅黑" w:eastAsia="微软雅黑" w:cs="微软雅黑"/>
          <w:b/>
          <w:bCs w:val="0"/>
          <w:color w:val="000000" w:themeColor="text1"/>
          <w:sz w:val="24"/>
          <w:szCs w:val="24"/>
          <w14:textFill>
            <w14:solidFill>
              <w14:schemeClr w14:val="tx1"/>
            </w14:solidFill>
          </w14:textFill>
        </w:rPr>
        <w:t>)：</w:t>
      </w:r>
    </w:p>
    <w:p w14:paraId="429F7A2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身份证号\</w:t>
      </w: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p>
    <w:p w14:paraId="63D467C5">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p>
    <w:p w14:paraId="607E0AEC">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乙方（</w:t>
      </w: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承运人</w:t>
      </w:r>
      <w:r>
        <w:rPr>
          <w:rFonts w:hint="eastAsia" w:ascii="微软雅黑" w:hAnsi="微软雅黑" w:eastAsia="微软雅黑" w:cs="微软雅黑"/>
          <w:b/>
          <w:bCs w:val="0"/>
          <w:color w:val="000000" w:themeColor="text1"/>
          <w:sz w:val="24"/>
          <w:szCs w:val="24"/>
          <w14:textFill>
            <w14:solidFill>
              <w14:schemeClr w14:val="tx1"/>
            </w14:solidFill>
          </w14:textFill>
        </w:rPr>
        <w:t>）：</w:t>
      </w:r>
    </w:p>
    <w:p w14:paraId="5259C99E">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身份证号\</w:t>
      </w: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p>
    <w:p w14:paraId="7E63C3C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208759EA">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kern w:val="2"/>
          <w:sz w:val="24"/>
          <w:szCs w:val="24"/>
          <w:lang w:val="en-US" w:eastAsia="zh-CN" w:bidi="ar"/>
        </w:rPr>
        <w:t>根据《中华人民共和国民法典》等相关法律、法规规定，</w:t>
      </w:r>
      <w:r>
        <w:rPr>
          <w:rFonts w:hint="eastAsia" w:ascii="微软雅黑" w:hAnsi="微软雅黑" w:eastAsia="微软雅黑" w:cs="微软雅黑"/>
          <w:color w:val="000000" w:themeColor="text1"/>
          <w:sz w:val="24"/>
          <w:szCs w:val="24"/>
          <w14:textFill>
            <w14:solidFill>
              <w14:schemeClr w14:val="tx1"/>
            </w14:solidFill>
          </w14:textFill>
        </w:rPr>
        <w:t>明确双方的权利和义务，经甲乙双方友好协商，达成如下条款：</w:t>
      </w:r>
    </w:p>
    <w:p w14:paraId="1995FD6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p>
    <w:p w14:paraId="6ECA7DA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第一条  货物的名称、规格、数量、价格</w:t>
      </w:r>
    </w:p>
    <w:p w14:paraId="2FF4F89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货物编号：</w:t>
      </w:r>
      <w:r>
        <w:rPr>
          <w:rFonts w:hint="eastAsia" w:ascii="微软雅黑" w:hAnsi="微软雅黑" w:eastAsia="微软雅黑" w:cs="微软雅黑"/>
          <w:kern w:val="2"/>
          <w:sz w:val="24"/>
          <w:szCs w:val="24"/>
          <w:u w:val="single"/>
          <w:lang w:val="en-US" w:eastAsia="zh-CN" w:bidi="ar"/>
        </w:rPr>
        <w:t xml:space="preserve">                       </w:t>
      </w:r>
    </w:p>
    <w:p w14:paraId="0AD7EC7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品名：</w:t>
      </w:r>
      <w:r>
        <w:rPr>
          <w:rFonts w:hint="eastAsia" w:ascii="微软雅黑" w:hAnsi="微软雅黑" w:eastAsia="微软雅黑" w:cs="微软雅黑"/>
          <w:kern w:val="2"/>
          <w:sz w:val="24"/>
          <w:szCs w:val="24"/>
          <w:u w:val="single"/>
          <w:lang w:val="en-US" w:eastAsia="zh-CN" w:bidi="ar"/>
        </w:rPr>
        <w:t xml:space="preserve">                           </w:t>
      </w:r>
    </w:p>
    <w:p w14:paraId="1C8A2C7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规格：</w:t>
      </w:r>
      <w:r>
        <w:rPr>
          <w:rFonts w:hint="eastAsia" w:ascii="微软雅黑" w:hAnsi="微软雅黑" w:eastAsia="微软雅黑" w:cs="微软雅黑"/>
          <w:kern w:val="2"/>
          <w:sz w:val="24"/>
          <w:szCs w:val="24"/>
          <w:u w:val="single"/>
          <w:lang w:val="en-US" w:eastAsia="zh-CN" w:bidi="ar"/>
        </w:rPr>
        <w:t xml:space="preserve">                           </w:t>
      </w:r>
    </w:p>
    <w:p w14:paraId="1869C2B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性质：</w:t>
      </w:r>
      <w:r>
        <w:rPr>
          <w:rFonts w:hint="eastAsia" w:ascii="微软雅黑" w:hAnsi="微软雅黑" w:eastAsia="微软雅黑" w:cs="微软雅黑"/>
          <w:kern w:val="2"/>
          <w:sz w:val="24"/>
          <w:szCs w:val="24"/>
          <w:u w:val="single"/>
          <w:lang w:val="en-US" w:eastAsia="zh-CN" w:bidi="ar"/>
        </w:rPr>
        <w:t xml:space="preserve">                           </w:t>
      </w:r>
    </w:p>
    <w:p w14:paraId="4447ADC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包装方式：</w:t>
      </w:r>
      <w:r>
        <w:rPr>
          <w:rFonts w:hint="eastAsia" w:ascii="微软雅黑" w:hAnsi="微软雅黑" w:eastAsia="微软雅黑" w:cs="微软雅黑"/>
          <w:kern w:val="2"/>
          <w:sz w:val="24"/>
          <w:szCs w:val="24"/>
          <w:u w:val="single"/>
          <w:lang w:val="en-US" w:eastAsia="zh-CN" w:bidi="ar"/>
        </w:rPr>
        <w:t xml:space="preserve">                       </w:t>
      </w:r>
    </w:p>
    <w:p w14:paraId="68B1234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数量（件）：</w:t>
      </w:r>
      <w:r>
        <w:rPr>
          <w:rFonts w:hint="eastAsia" w:ascii="微软雅黑" w:hAnsi="微软雅黑" w:eastAsia="微软雅黑" w:cs="微软雅黑"/>
          <w:kern w:val="2"/>
          <w:sz w:val="24"/>
          <w:szCs w:val="24"/>
          <w:u w:val="single"/>
          <w:lang w:val="en-US" w:eastAsia="zh-CN" w:bidi="ar"/>
        </w:rPr>
        <w:t xml:space="preserve">                     </w:t>
      </w:r>
    </w:p>
    <w:p w14:paraId="6C9D982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重量（千克、吨）：</w:t>
      </w:r>
      <w:r>
        <w:rPr>
          <w:rFonts w:hint="eastAsia" w:ascii="微软雅黑" w:hAnsi="微软雅黑" w:eastAsia="微软雅黑" w:cs="微软雅黑"/>
          <w:kern w:val="2"/>
          <w:sz w:val="24"/>
          <w:szCs w:val="24"/>
          <w:u w:val="single"/>
          <w:lang w:val="en-US" w:eastAsia="zh-CN" w:bidi="ar"/>
        </w:rPr>
        <w:t xml:space="preserve">               </w:t>
      </w:r>
    </w:p>
    <w:p w14:paraId="4A4ABA8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保险、保价价格：</w:t>
      </w:r>
      <w:r>
        <w:rPr>
          <w:rFonts w:hint="eastAsia" w:ascii="微软雅黑" w:hAnsi="微软雅黑" w:eastAsia="微软雅黑" w:cs="微软雅黑"/>
          <w:kern w:val="2"/>
          <w:sz w:val="24"/>
          <w:szCs w:val="24"/>
          <w:u w:val="single"/>
          <w:lang w:val="en-US" w:eastAsia="zh-CN" w:bidi="ar"/>
        </w:rPr>
        <w:t xml:space="preserve">                 </w:t>
      </w:r>
    </w:p>
    <w:p w14:paraId="46798B0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货物价值：</w:t>
      </w:r>
      <w:r>
        <w:rPr>
          <w:rFonts w:hint="eastAsia" w:ascii="微软雅黑" w:hAnsi="微软雅黑" w:eastAsia="微软雅黑" w:cs="微软雅黑"/>
          <w:kern w:val="2"/>
          <w:sz w:val="24"/>
          <w:szCs w:val="24"/>
          <w:u w:val="single"/>
          <w:lang w:val="en-US" w:eastAsia="zh-CN" w:bidi="ar"/>
        </w:rPr>
        <w:t xml:space="preserve">                       </w:t>
      </w:r>
    </w:p>
    <w:p w14:paraId="7C99B43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运杂费：</w:t>
      </w:r>
      <w:r>
        <w:rPr>
          <w:rFonts w:hint="eastAsia" w:ascii="微软雅黑" w:hAnsi="微软雅黑" w:eastAsia="微软雅黑" w:cs="微软雅黑"/>
          <w:kern w:val="2"/>
          <w:sz w:val="24"/>
          <w:szCs w:val="24"/>
          <w:u w:val="single"/>
          <w:lang w:val="en-US" w:eastAsia="zh-CN" w:bidi="ar"/>
        </w:rPr>
        <w:t xml:space="preserve">                         </w:t>
      </w:r>
    </w:p>
    <w:p w14:paraId="70FF649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kern w:val="2"/>
          <w:sz w:val="24"/>
          <w:szCs w:val="24"/>
          <w:lang w:val="en-US" w:eastAsia="zh-CN" w:bidi="ar"/>
        </w:rPr>
      </w:pPr>
    </w:p>
    <w:p w14:paraId="25251C0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第二条  运输时间</w:t>
      </w:r>
    </w:p>
    <w:p w14:paraId="4330E3D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货物承运起始时间：</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年</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月</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日</w:t>
      </w:r>
    </w:p>
    <w:p w14:paraId="34CEF1A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货物运到时间：</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年</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月</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日</w:t>
      </w:r>
    </w:p>
    <w:p w14:paraId="29D6598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5C3B077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第三条  包装要求</w:t>
      </w:r>
    </w:p>
    <w:p w14:paraId="24119D7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托运货物的包装，应当按照承托双方约定的方式包装。对包装方式没有约定或者约定不明确的，又不能达成补充协议的，按照通用的方式包装。没有通用方式的，应在足以保证运输、搬运装卸作业安全和货物完好的原则下进行包装。依法应当执行特殊包装标准的，按照规定执行。</w:t>
      </w:r>
    </w:p>
    <w:p w14:paraId="3283CA5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5B7F9BC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第四条  甲方权利义务</w:t>
      </w:r>
    </w:p>
    <w:p w14:paraId="0CF3D5F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1、要求乙方按照合同约定的时间、地点及运输方式将货物运送至目的地，交付给收货人。</w:t>
      </w:r>
    </w:p>
    <w:p w14:paraId="60EC74E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2、货物交付托运后，到达约定地点之前，可以变更到货地点和收货人，或解除合同，但应支付因此给乙方增加的费用和造成的损失。</w:t>
      </w:r>
    </w:p>
    <w:p w14:paraId="664C1F8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3、按约定支付运杂费。</w:t>
      </w:r>
    </w:p>
    <w:p w14:paraId="168B8E5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4、如实告知乙方所托运的货物的名称、性质、重量、数量等。</w:t>
      </w:r>
    </w:p>
    <w:p w14:paraId="1C1DFA2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5、按约定的时间、地点向乙方交付货物。</w:t>
      </w:r>
    </w:p>
    <w:p w14:paraId="6A3A024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6、运输货物由甲方购买保险或者保价。</w:t>
      </w:r>
    </w:p>
    <w:p w14:paraId="2BFC49D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2B72375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3FAB352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第五条  乙方的权利义务</w:t>
      </w:r>
    </w:p>
    <w:p w14:paraId="52DB9B6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1、要求甲方按约定的时间、地点交付货物；</w:t>
      </w:r>
    </w:p>
    <w:p w14:paraId="0156611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2、按约定向甲方或收货人收取运杂费；</w:t>
      </w:r>
    </w:p>
    <w:p w14:paraId="3FA8730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3、在约定期限内将货物运送至指定地点；</w:t>
      </w:r>
    </w:p>
    <w:p w14:paraId="402E1DE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4、及时向收货人发出货物到达的通知</w:t>
      </w:r>
    </w:p>
    <w:p w14:paraId="46CA407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5、对托运的货物要负责安全，保证货物无短缺、无损坏；</w:t>
      </w:r>
    </w:p>
    <w:p w14:paraId="29B3FE6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6、乙方应根据承运货物的需要,按货物的不同特性,提供技术状况良好、经济适用的车辆,并能满足所运货物重量的要求。使用的车辆、容器应做到外观整洁,车体、容器内干净无污染物、残留物。对于承运特种货物的车辆和集装箱运输车辆,需配备符合运输要求的特殊装置或专用设备；</w:t>
      </w:r>
    </w:p>
    <w:p w14:paraId="3FD88BF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7、办理交接手续时，应根据合同记载货物名称、数量、包装方式等，核对货物；</w:t>
      </w:r>
    </w:p>
    <w:p w14:paraId="1A057F9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10827FC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第六条  违约责任</w:t>
      </w:r>
    </w:p>
    <w:p w14:paraId="677249C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1、未按合同约定的时间和要求提供托运的货物，甲方应支付给乙方违约金</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元（大写：</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w:t>
      </w:r>
    </w:p>
    <w:p w14:paraId="4C24D92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2、在托运的货物中夹带、匿报危险货物和禁运物品，造成车辆毁损或被相关执法部门查封、扣押或货物灭失，给乙方造成损失的，甲方应承担赔偿责任。</w:t>
      </w:r>
    </w:p>
    <w:p w14:paraId="0480920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3、因货物包装原因，致使其它货物或运输工具、机械设备被污染腐蚀、损坏，造成人身伤亡的，甲方应承担赔偿责任。</w:t>
      </w:r>
    </w:p>
    <w:p w14:paraId="66169F4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4、由于乙方过错，造成未按约定的期限将货物运达，乙方应支付给甲方违约金</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元（大写：</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w:t>
      </w:r>
    </w:p>
    <w:p w14:paraId="5F3DD3A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5、因乙方责任将货物错送或错交，应将货物无偿运至合同规定的到货地点，交给指定收货人。由此造成的货物逾期到达，乙方应按</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承担违约责任。</w:t>
      </w:r>
    </w:p>
    <w:p w14:paraId="01D42CC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6、运输过程中货物灭失、短少、变质、污染、损坏的，乙方承担赔偿责任。</w:t>
      </w:r>
    </w:p>
    <w:p w14:paraId="12CF779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7、汽车联运的货物发生灭失、短少、变质、污染、损坏的，乙方承担赔偿责任。</w:t>
      </w:r>
    </w:p>
    <w:p w14:paraId="01EBDCE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8、在符合法律和合同规定条件下的运输，由于下列原因造成货物灭失、短少、变质、污染、损坏的，经举证后乙方不承担违约责任：</w:t>
      </w:r>
    </w:p>
    <w:p w14:paraId="2CA77E3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①不可抗力；</w:t>
      </w:r>
    </w:p>
    <w:p w14:paraId="6F6193E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②货物本身的自然性质变化；</w:t>
      </w:r>
    </w:p>
    <w:p w14:paraId="185965F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③货物的合理损耗；</w:t>
      </w:r>
    </w:p>
    <w:p w14:paraId="6759AF1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④托运方或收货人本身的过错；</w:t>
      </w:r>
    </w:p>
    <w:p w14:paraId="199A0BB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⑤包装完整无损，而内装货物短缺、变质。</w:t>
      </w:r>
    </w:p>
    <w:p w14:paraId="3283D21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17616429">
      <w:pPr>
        <w:keepNext w:val="0"/>
        <w:keepLines w:val="0"/>
        <w:pageBreakBefore w:val="0"/>
        <w:tabs>
          <w:tab w:val="left" w:pos="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第七条  </w:t>
      </w:r>
      <w:r>
        <w:rPr>
          <w:rFonts w:hint="eastAsia" w:ascii="微软雅黑" w:hAnsi="微软雅黑" w:eastAsia="微软雅黑" w:cs="微软雅黑"/>
          <w:b/>
          <w:bCs/>
          <w:color w:val="000000" w:themeColor="text1"/>
          <w:sz w:val="24"/>
          <w:szCs w:val="24"/>
          <w14:textFill>
            <w14:solidFill>
              <w14:schemeClr w14:val="tx1"/>
            </w14:solidFill>
          </w14:textFill>
        </w:rPr>
        <w:t>免责条款</w:t>
      </w:r>
    </w:p>
    <w:p w14:paraId="251733F8">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68E3765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2、当出现双方在订立合同时无法预见的、不属于商业风险的重大变化，双方不能协商变更合同导致合同解除的，双方互不承担违约责任。</w:t>
      </w:r>
    </w:p>
    <w:p w14:paraId="09F9C3A7">
      <w:pPr>
        <w:keepNext w:val="0"/>
        <w:keepLines w:val="0"/>
        <w:pageBreakBefore w:val="0"/>
        <w:tabs>
          <w:tab w:val="left" w:pos="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3、因治安管理案件或刑事犯罪案件，包括但不限于故意伤害、爆炸、偷盗、抢劫等导致人身伤害或财产损失的，由行为人承担责任</w:t>
      </w:r>
      <w:r>
        <w:rPr>
          <w:rFonts w:hint="eastAsia" w:ascii="微软雅黑" w:hAnsi="微软雅黑" w:eastAsia="微软雅黑" w:cs="微软雅黑"/>
          <w:bCs/>
          <w:color w:val="000000" w:themeColor="text1"/>
          <w:sz w:val="24"/>
          <w:szCs w:val="24"/>
          <w14:textFill>
            <w14:solidFill>
              <w14:schemeClr w14:val="tx1"/>
            </w14:solidFill>
          </w14:textFill>
        </w:rPr>
        <w:t>。</w:t>
      </w:r>
    </w:p>
    <w:p w14:paraId="3E7F102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5791828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第八条  争议解决方式</w:t>
      </w:r>
    </w:p>
    <w:p w14:paraId="276D819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凡因本合同引起的或与本合同有关的任何争议，均提交蚌埠仲裁委员会，按照其届时有效的仲裁规则仲裁解决。仲裁裁决是终局的，对双方均有约束力。</w:t>
      </w:r>
    </w:p>
    <w:p w14:paraId="79BC483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kern w:val="2"/>
          <w:sz w:val="24"/>
          <w:szCs w:val="24"/>
          <w:lang w:val="en-US" w:eastAsia="zh-CN" w:bidi="ar"/>
        </w:rPr>
      </w:pPr>
      <w:r>
        <w:rPr>
          <w:rFonts w:hint="eastAsia" w:ascii="微软雅黑" w:hAnsi="微软雅黑" w:eastAsia="微软雅黑" w:cs="微软雅黑"/>
          <w:b/>
          <w:bCs/>
          <w:kern w:val="2"/>
          <w:sz w:val="24"/>
          <w:szCs w:val="24"/>
          <w:lang w:val="en-US" w:eastAsia="zh-CN" w:bidi="ar"/>
        </w:rPr>
        <w:t>第九条  其他约定</w:t>
      </w:r>
    </w:p>
    <w:p w14:paraId="0ACAC74D">
      <w:pPr>
        <w:keepNext w:val="0"/>
        <w:keepLines w:val="0"/>
        <w:pageBreakBefore w:val="0"/>
        <w:tabs>
          <w:tab w:val="left" w:pos="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kern w:val="2"/>
          <w:sz w:val="24"/>
          <w:szCs w:val="24"/>
          <w:lang w:val="en-US" w:eastAsia="zh-CN" w:bidi="ar"/>
        </w:rPr>
        <w:t>1、</w:t>
      </w:r>
      <w:r>
        <w:rPr>
          <w:rFonts w:hint="eastAsia" w:ascii="微软雅黑" w:hAnsi="微软雅黑" w:eastAsia="微软雅黑" w:cs="微软雅黑"/>
          <w:color w:val="000000" w:themeColor="text1"/>
          <w:sz w:val="24"/>
          <w:szCs w:val="24"/>
          <w14:textFill>
            <w14:solidFill>
              <w14:schemeClr w14:val="tx1"/>
            </w14:solidFill>
          </w14:textFill>
        </w:rPr>
        <w:t>本</w:t>
      </w:r>
      <w:r>
        <w:rPr>
          <w:rFonts w:hint="eastAsia" w:ascii="微软雅黑" w:hAnsi="微软雅黑" w:eastAsia="微软雅黑" w:cs="微软雅黑"/>
          <w:color w:val="000000" w:themeColor="text1"/>
          <w:sz w:val="24"/>
          <w:szCs w:val="24"/>
          <w:lang w:eastAsia="zh-CN"/>
          <w14:textFill>
            <w14:solidFill>
              <w14:schemeClr w14:val="tx1"/>
            </w14:solidFill>
          </w14:textFill>
        </w:rPr>
        <w:t>合同</w:t>
      </w:r>
      <w:r>
        <w:rPr>
          <w:rFonts w:hint="eastAsia" w:ascii="微软雅黑" w:hAnsi="微软雅黑" w:eastAsia="微软雅黑" w:cs="微软雅黑"/>
          <w:color w:val="000000" w:themeColor="text1"/>
          <w:sz w:val="24"/>
          <w:szCs w:val="24"/>
          <w14:textFill>
            <w14:solidFill>
              <w14:schemeClr w14:val="tx1"/>
            </w14:solidFill>
          </w14:textFill>
        </w:rPr>
        <w:t>经甲乙双方签章后生效</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68D7F1A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2、在执行期间如有未尽事宜，双方可签订补充协议。补充协议与本合同具有同等法律效力。双方当事人没有约定或约定不明的事宜，法律、法规有规定的，按照规定执行。</w:t>
      </w:r>
    </w:p>
    <w:p w14:paraId="68EA718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3、本合同一式</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份，双方当事人各执</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份，具有同等法律效力。</w:t>
      </w:r>
    </w:p>
    <w:p w14:paraId="422F9496">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4</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送达地址以及送达条款</w:t>
      </w:r>
    </w:p>
    <w:p w14:paraId="173963A9">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（1）送达地址以及方式</w:t>
      </w:r>
    </w:p>
    <w:p w14:paraId="4DD19F5F">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送达地址</w:t>
      </w:r>
    </w:p>
    <w:p w14:paraId="4AC77600">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甲方确认送达地址如下：</w:t>
      </w:r>
    </w:p>
    <w:p w14:paraId="59568D6F">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地址：    省    市    区/县    路    号，</w:t>
      </w:r>
    </w:p>
    <w:p w14:paraId="65505F89">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邮编：            ，</w:t>
      </w:r>
    </w:p>
    <w:p w14:paraId="6AC05C62">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联系人：      ，</w:t>
      </w:r>
    </w:p>
    <w:p w14:paraId="435D7CBA">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联系电话：      -            。</w:t>
      </w:r>
    </w:p>
    <w:p w14:paraId="53863B71">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甲方电子送达方式如下：</w:t>
      </w:r>
    </w:p>
    <w:p w14:paraId="339483CF">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手机短信：                  </w:t>
      </w:r>
    </w:p>
    <w:p w14:paraId="04DED73A">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传真：      -            </w:t>
      </w:r>
    </w:p>
    <w:p w14:paraId="305FD254">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即时通讯账号（微信号）：                  </w:t>
      </w:r>
    </w:p>
    <w:p w14:paraId="687D9ACC">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电子邮箱：            。</w:t>
      </w:r>
    </w:p>
    <w:p w14:paraId="40DC69ED">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p>
    <w:p w14:paraId="5FDD3149">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乙方确认送达地址如下：</w:t>
      </w:r>
    </w:p>
    <w:p w14:paraId="614A99D6">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地址：    省    市    区/县    路    号，</w:t>
      </w:r>
    </w:p>
    <w:p w14:paraId="4E685ADB">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邮编：            ，</w:t>
      </w:r>
    </w:p>
    <w:p w14:paraId="751ADA31">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联系人：      ，</w:t>
      </w:r>
    </w:p>
    <w:p w14:paraId="2B5BE529">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联系电话：      -            。</w:t>
      </w:r>
    </w:p>
    <w:p w14:paraId="66D493A2">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乙方电子送达方式如下：</w:t>
      </w:r>
    </w:p>
    <w:p w14:paraId="63ECC6F8">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手机短信：                  </w:t>
      </w:r>
    </w:p>
    <w:p w14:paraId="3BA8F155">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传真：      -            </w:t>
      </w:r>
    </w:p>
    <w:p w14:paraId="0E32358E">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即时通讯账号（微信号）：                  </w:t>
      </w:r>
    </w:p>
    <w:p w14:paraId="7FFCEB42">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电子邮箱：</w:t>
      </w:r>
    </w:p>
    <w:p w14:paraId="31520760">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送达方式</w:t>
      </w:r>
    </w:p>
    <w:p w14:paraId="1279A84B">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 双方同意，本合同项下的通知、函件、诉讼文书等文件，以下列方式送达对方：</w:t>
      </w:r>
    </w:p>
    <w:p w14:paraId="1E7DE3F6">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直接送达：将文件送至对方指定的送达地址，视为已送达；</w:t>
      </w:r>
    </w:p>
    <w:p w14:paraId="0205B520">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邮寄送达：将文件通过挂号信、特快专递等方式寄至对方指定的送达地址，以邮戳日期为准，视为已送达；</w:t>
      </w:r>
    </w:p>
    <w:p w14:paraId="2BB506E8">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电子送达：将文件通过电子邮件、短信、微信等方式发送至对方指定的电子邮箱、手机号码等，发送成功即视为已送达。</w:t>
      </w:r>
    </w:p>
    <w:p w14:paraId="406BB906">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（2）送达条款</w:t>
      </w:r>
    </w:p>
    <w:p w14:paraId="174449EA">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本送达条款适用于合同履行期间及合同纠纷解决过程中的所有文件送达。</w:t>
      </w:r>
    </w:p>
    <w:p w14:paraId="65F640E7">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71BBB1BD">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双方在合同履行过程中由双方共同明示或默示确认的合同约定外的送达地址和联系方式不影响送达效力。</w:t>
      </w:r>
    </w:p>
    <w:p w14:paraId="402EBF48">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2316223F">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519A4CEB">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双方发生争议，关于裁判机构的送达文书，接收方存在以下行为之一的，蚌埠仲裁委员会有权依据法律和适时有效的仲裁规则规定进行送达，法律与仲裁规则规定程序完成之日，视为送达成功：</w:t>
      </w:r>
    </w:p>
    <w:p w14:paraId="466E9B1D">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擅自变更送达地址及信息且未及时通知对方的；</w:t>
      </w:r>
    </w:p>
    <w:p w14:paraId="49C367F3">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送达地址与信息同工商登记信息不一致且未及时更改的；</w:t>
      </w:r>
    </w:p>
    <w:p w14:paraId="6D0CC4B2">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故意不接收蚌埠仲裁委员会送达文书的；</w:t>
      </w:r>
    </w:p>
    <w:p w14:paraId="083A359F">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Cs/>
          <w:color w:val="000000" w:themeColor="text1"/>
          <w:sz w:val="24"/>
          <w:szCs w:val="24"/>
          <w:u w:val="single"/>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因接收方过错造成无法正常送达的其他行为。</w:t>
      </w:r>
    </w:p>
    <w:p w14:paraId="77E76E13">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Cs/>
          <w:color w:val="000000" w:themeColor="text1"/>
          <w:sz w:val="24"/>
          <w:szCs w:val="24"/>
          <w:u w:val="single"/>
          <w14:textFill>
            <w14:solidFill>
              <w14:schemeClr w14:val="tx1"/>
            </w14:solidFill>
          </w14:textFill>
        </w:rPr>
      </w:pPr>
    </w:p>
    <w:p w14:paraId="730EA0A5">
      <w:pPr>
        <w:keepNext w:val="0"/>
        <w:keepLines w:val="0"/>
        <w:pageBreakBefore w:val="0"/>
        <w:tabs>
          <w:tab w:val="left" w:pos="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4057C188">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p>
    <w:p w14:paraId="7E43746F">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（盖章）：</w:t>
      </w:r>
    </w:p>
    <w:p w14:paraId="5C992760">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0D803C99">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2ADB2D4F">
      <w:pPr>
        <w:keepNext w:val="0"/>
        <w:keepLines w:val="0"/>
        <w:pageBreakBefore w:val="0"/>
        <w:tabs>
          <w:tab w:val="left" w:pos="72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13D86694">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p>
    <w:p w14:paraId="5A738C4F">
      <w:pPr>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51813C1D">
      <w:pPr>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3A5A2055">
      <w:pPr>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39AF39D2">
      <w:pPr>
        <w:pageBreakBefore w:val="0"/>
        <w:tabs>
          <w:tab w:val="left" w:pos="72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5831E8CA">
      <w:pPr>
        <w:pageBreakBefore w:val="0"/>
        <w:tabs>
          <w:tab w:val="left" w:pos="72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7DD923D8">
      <w:pPr>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签订时间：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w:t>
      </w:r>
    </w:p>
    <w:p w14:paraId="13A8F0AB">
      <w:pPr>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签订地点：</w:t>
      </w:r>
    </w:p>
    <w:p w14:paraId="4338321C">
      <w:pPr>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Cs/>
          <w:color w:val="000000" w:themeColor="text1"/>
          <w:sz w:val="24"/>
          <w:szCs w:val="24"/>
          <w:u w:val="single"/>
          <w14:textFill>
            <w14:solidFill>
              <w14:schemeClr w14:val="tx1"/>
            </w14:solidFill>
          </w14:textFill>
        </w:rPr>
      </w:pPr>
    </w:p>
    <w:p w14:paraId="6EB940A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p>
    <w:p w14:paraId="2D0BF67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CDE6E">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735F03">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7735F03">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yOWQwOGU1YThmNmQ5OWFkMDMzMDYwNTI0NWU0NmUifQ=="/>
  </w:docVars>
  <w:rsids>
    <w:rsidRoot w:val="39473DAC"/>
    <w:rsid w:val="1D8F0610"/>
    <w:rsid w:val="31754F56"/>
    <w:rsid w:val="36CA7FCD"/>
    <w:rsid w:val="39473DAC"/>
    <w:rsid w:val="46A650C2"/>
    <w:rsid w:val="547C2481"/>
    <w:rsid w:val="600834DD"/>
    <w:rsid w:val="EBDC4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link w:val="10"/>
    <w:semiHidden/>
    <w:unhideWhenUsed/>
    <w:qFormat/>
    <w:uiPriority w:val="0"/>
    <w:pPr>
      <w:keepNext/>
      <w:keepLines/>
      <w:widowControl w:val="0"/>
      <w:suppressLineNumbers w:val="0"/>
      <w:spacing w:before="260" w:beforeAutospacing="0" w:after="260" w:afterAutospacing="0" w:line="415" w:lineRule="auto"/>
      <w:ind w:left="0" w:right="0"/>
      <w:jc w:val="both"/>
      <w:outlineLvl w:val="2"/>
    </w:pPr>
    <w:rPr>
      <w:rFonts w:hint="eastAsia" w:ascii="等线" w:hAnsi="等线" w:eastAsia="等线" w:cs="等线"/>
      <w:b/>
      <w:bCs/>
      <w:kern w:val="2"/>
      <w:sz w:val="32"/>
      <w:szCs w:val="32"/>
      <w:lang w:val="en-US" w:eastAsia="zh-CN" w:bidi="ar"/>
    </w:rPr>
  </w:style>
  <w:style w:type="character" w:default="1" w:styleId="8">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rPr>
  </w:style>
  <w:style w:type="paragraph" w:styleId="4">
    <w:name w:val="header"/>
    <w:basedOn w:val="1"/>
    <w:link w:val="9"/>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100" w:beforeAutospacing="1" w:after="100" w:afterAutospacing="1" w:line="336" w:lineRule="auto"/>
      <w:jc w:val="left"/>
    </w:pPr>
    <w:rPr>
      <w:rFonts w:ascii="宋体" w:hAnsi="宋体" w:cs="宋体"/>
      <w:kern w:val="0"/>
      <w:sz w:val="24"/>
      <w:szCs w:val="24"/>
    </w:rPr>
  </w:style>
  <w:style w:type="table" w:styleId="7">
    <w:name w:val="Table Grid"/>
    <w:basedOn w:val="6"/>
    <w:qFormat/>
    <w:uiPriority w:val="0"/>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
    <w:name w:val="页眉 字符"/>
    <w:basedOn w:val="8"/>
    <w:link w:val="4"/>
    <w:qFormat/>
    <w:uiPriority w:val="0"/>
    <w:rPr>
      <w:sz w:val="18"/>
      <w:szCs w:val="18"/>
    </w:rPr>
  </w:style>
  <w:style w:type="character" w:customStyle="1" w:styleId="10">
    <w:name w:val="标题 3 字符"/>
    <w:basedOn w:val="8"/>
    <w:link w:val="2"/>
    <w:qFormat/>
    <w:uiPriority w:val="0"/>
    <w:rPr>
      <w:b/>
      <w:bCs/>
      <w:sz w:val="32"/>
      <w:szCs w:val="32"/>
    </w:rPr>
  </w:style>
  <w:style w:type="character" w:customStyle="1" w:styleId="11">
    <w:name w:val="页脚 字符"/>
    <w:basedOn w:val="8"/>
    <w:link w:val="3"/>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2634</Words>
  <Characters>2634</Characters>
  <Lines>0</Lines>
  <Paragraphs>0</Paragraphs>
  <TotalTime>26</TotalTime>
  <ScaleCrop>false</ScaleCrop>
  <LinksUpToDate>false</LinksUpToDate>
  <CharactersWithSpaces>3221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2023-07-05T16:44:00Z</dcterms:created>
  <dc:creator>差不多先生</dc:creator>
  <cp:lastModifiedBy>豪</cp:lastModifiedBy>
  <dcterms:modified xsi:type="dcterms:W3CDTF">2026-03-22T07:21:31Z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DC6A1725B90A4B5A97EF29D54C1CBFA1_11</vt:lpwstr>
  </property>
  <property fmtid="{D5CDD505-2E9C-101B-9397-08002B2CF9AE}" pid="4" name="KSOTemplateDocerSaveRecord">
    <vt:lpwstr>eyJoZGlkIjoiNTg0MzMyNGJiMDEzODc5ODNlMGVjODViOWRkZjg1MDgiLCJ1c2VySWQiOiIxMjc2Mzc3NjgxIn0=</vt:lpwstr>
  </property>
</Properties>
</file>