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77BD0095">
      <w:pPr>
        <w:pStyle w:val="2"/>
        <w:pageBreakBefore w:val="0"/>
        <w:widowControl/>
        <w:kinsoku/>
        <w:overflowPunct/>
        <w:topLinePunct w:val="0"/>
        <w:autoSpaceDE/>
        <w:autoSpaceDN/>
        <w:bidi w:val="0"/>
        <w:adjustRightInd/>
        <w:snapToGrid/>
        <w:spacing w:before="0" w:after="0" w:line="360" w:lineRule="auto"/>
        <w:ind w:left="0" w:leftChars="0"/>
        <w:jc w:val="center"/>
        <w:textAlignment w:val="auto"/>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合同编号：真宇212711</w:t>
      </w:r>
    </w:p>
    <w:p w14:paraId="38F0EC21">
      <w:pPr>
        <w:pageBreakBefore w:val="0"/>
        <w:kinsoku/>
        <w:overflowPunct/>
        <w:topLinePunct w:val="0"/>
        <w:bidi w:val="0"/>
        <w:adjustRightInd/>
        <w:snapToGrid/>
        <w:spacing w:line="360" w:lineRule="auto"/>
        <w:ind w:left="0" w:leftChars="0"/>
        <w:jc w:val="center"/>
        <w:textAlignment w:val="auto"/>
        <w:rPr>
          <w:rFonts w:hint="eastAsia" w:ascii="微软雅黑" w:hAnsi="微软雅黑" w:eastAsia="微软雅黑" w:cs="微软雅黑"/>
          <w:b/>
          <w:bCs/>
          <w:sz w:val="36"/>
          <w:szCs w:val="36"/>
          <w:lang w:val="en-US" w:eastAsia="zh-CN"/>
        </w:rPr>
      </w:pPr>
      <w:bookmarkStart w:id="0" w:name="_GoBack"/>
    </w:p>
    <w:p w14:paraId="4139393E">
      <w:pPr>
        <w:pStyle w:val="2"/>
        <w:pageBreakBefore w:val="0"/>
        <w:widowControl/>
        <w:kinsoku/>
        <w:overflowPunct/>
        <w:topLinePunct w:val="0"/>
        <w:autoSpaceDE/>
        <w:autoSpaceDN/>
        <w:bidi w:val="0"/>
        <w:adjustRightInd/>
        <w:snapToGrid/>
        <w:spacing w:before="0" w:after="0" w:line="360" w:lineRule="auto"/>
        <w:ind w:left="0" w:leftChars="0"/>
        <w:jc w:val="center"/>
        <w:textAlignment w:val="auto"/>
        <w:rPr>
          <w:rFonts w:hint="eastAsia" w:ascii="微软雅黑" w:hAnsi="微软雅黑" w:eastAsia="微软雅黑" w:cs="微软雅黑"/>
          <w:b/>
          <w:bCs/>
          <w:sz w:val="36"/>
          <w:szCs w:val="36"/>
          <w:lang w:val="en-US"/>
        </w:rPr>
      </w:pPr>
      <w:r>
        <w:rPr>
          <w:rFonts w:hint="eastAsia" w:ascii="微软雅黑" w:hAnsi="微软雅黑" w:eastAsia="微软雅黑" w:cs="微软雅黑"/>
          <w:b/>
          <w:bCs/>
          <w:spacing w:val="57"/>
          <w:sz w:val="36"/>
          <w:szCs w:val="36"/>
          <w:lang w:eastAsia="zh-CN"/>
        </w:rPr>
        <w:t>货物配送合同</w:t>
      </w:r>
    </w:p>
    <w:bookmarkEnd w:id="0"/>
    <w:p w14:paraId="5269B0F5">
      <w:pPr>
        <w:keepNext w:val="0"/>
        <w:keepLines w:val="0"/>
        <w:pageBreakBefore w:val="0"/>
        <w:widowControl w:val="0"/>
        <w:suppressLineNumbers w:val="0"/>
        <w:kinsoku/>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6DCDF71A">
      <w:pPr>
        <w:pStyle w:val="5"/>
        <w:keepNext w:val="0"/>
        <w:keepLines w:val="0"/>
        <w:pageBreakBefore w:val="0"/>
        <w:kinsoku/>
        <w:overflowPunct/>
        <w:topLinePunct w:val="0"/>
        <w:bidi w:val="0"/>
        <w:adjustRightInd/>
        <w:snapToGrid/>
        <w:spacing w:before="0" w:beforeAutospacing="0" w:after="0" w:afterAutospacing="0" w:line="360" w:lineRule="auto"/>
        <w:ind w:left="0" w:leftChars="0"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甲方(</w:t>
      </w:r>
      <w:r>
        <w:rPr>
          <w:rFonts w:hint="eastAsia" w:ascii="微软雅黑" w:hAnsi="微软雅黑" w:eastAsia="微软雅黑" w:cs="微软雅黑"/>
          <w:b/>
          <w:bCs w:val="0"/>
          <w:color w:val="000000" w:themeColor="text1"/>
          <w:sz w:val="24"/>
          <w:szCs w:val="24"/>
          <w:lang w:val="en-US" w:eastAsia="zh-CN"/>
          <w14:textFill>
            <w14:solidFill>
              <w14:schemeClr w14:val="tx1"/>
            </w14:solidFill>
          </w14:textFill>
        </w:rPr>
        <w:t>托运人</w:t>
      </w:r>
      <w:r>
        <w:rPr>
          <w:rFonts w:hint="eastAsia" w:ascii="微软雅黑" w:hAnsi="微软雅黑" w:eastAsia="微软雅黑" w:cs="微软雅黑"/>
          <w:b/>
          <w:bCs w:val="0"/>
          <w:color w:val="000000" w:themeColor="text1"/>
          <w:sz w:val="24"/>
          <w:szCs w:val="24"/>
          <w14:textFill>
            <w14:solidFill>
              <w14:schemeClr w14:val="tx1"/>
            </w14:solidFill>
          </w14:textFill>
        </w:rPr>
        <w:t>)：</w:t>
      </w:r>
    </w:p>
    <w:p w14:paraId="4B12B428">
      <w:pPr>
        <w:keepNext w:val="0"/>
        <w:keepLines w:val="0"/>
        <w:pageBreakBefore w:val="0"/>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统一社会信用代码：</w:t>
      </w:r>
    </w:p>
    <w:p w14:paraId="3E4ABF32">
      <w:pPr>
        <w:pStyle w:val="5"/>
        <w:keepNext w:val="0"/>
        <w:keepLines w:val="0"/>
        <w:pageBreakBefore w:val="0"/>
        <w:kinsoku/>
        <w:overflowPunct/>
        <w:topLinePunct w:val="0"/>
        <w:bidi w:val="0"/>
        <w:adjustRightInd/>
        <w:snapToGrid/>
        <w:spacing w:before="0" w:beforeAutospacing="0" w:after="0" w:afterAutospacing="0" w:line="360" w:lineRule="auto"/>
        <w:ind w:left="0" w:leftChars="0"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p>
    <w:p w14:paraId="00A8288E">
      <w:pPr>
        <w:pStyle w:val="5"/>
        <w:keepNext w:val="0"/>
        <w:keepLines w:val="0"/>
        <w:pageBreakBefore w:val="0"/>
        <w:kinsoku/>
        <w:overflowPunct/>
        <w:topLinePunct w:val="0"/>
        <w:bidi w:val="0"/>
        <w:adjustRightInd/>
        <w:snapToGrid/>
        <w:spacing w:before="0" w:beforeAutospacing="0" w:after="0" w:afterAutospacing="0" w:line="360" w:lineRule="auto"/>
        <w:ind w:left="0" w:leftChars="0"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乙方（</w:t>
      </w:r>
      <w:r>
        <w:rPr>
          <w:rFonts w:hint="eastAsia" w:ascii="微软雅黑" w:hAnsi="微软雅黑" w:eastAsia="微软雅黑" w:cs="微软雅黑"/>
          <w:b/>
          <w:bCs w:val="0"/>
          <w:color w:val="000000" w:themeColor="text1"/>
          <w:sz w:val="24"/>
          <w:szCs w:val="24"/>
          <w:lang w:val="en-US" w:eastAsia="zh-CN"/>
          <w14:textFill>
            <w14:solidFill>
              <w14:schemeClr w14:val="tx1"/>
            </w14:solidFill>
          </w14:textFill>
        </w:rPr>
        <w:t>承运人</w:t>
      </w:r>
      <w:r>
        <w:rPr>
          <w:rFonts w:hint="eastAsia" w:ascii="微软雅黑" w:hAnsi="微软雅黑" w:eastAsia="微软雅黑" w:cs="微软雅黑"/>
          <w:b/>
          <w:bCs w:val="0"/>
          <w:color w:val="000000" w:themeColor="text1"/>
          <w:sz w:val="24"/>
          <w:szCs w:val="24"/>
          <w14:textFill>
            <w14:solidFill>
              <w14:schemeClr w14:val="tx1"/>
            </w14:solidFill>
          </w14:textFill>
        </w:rPr>
        <w:t>）：</w:t>
      </w:r>
    </w:p>
    <w:p w14:paraId="57628716">
      <w:pPr>
        <w:pStyle w:val="5"/>
        <w:keepNext w:val="0"/>
        <w:keepLines w:val="0"/>
        <w:pageBreakBefore w:val="0"/>
        <w:kinsoku/>
        <w:overflowPunct/>
        <w:topLinePunct w:val="0"/>
        <w:bidi w:val="0"/>
        <w:adjustRightInd/>
        <w:snapToGrid/>
        <w:spacing w:before="0" w:beforeAutospacing="0" w:after="0" w:afterAutospacing="0" w:line="360" w:lineRule="auto"/>
        <w:ind w:left="0" w:leftChars="0"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统一社会信用代码：</w:t>
      </w:r>
    </w:p>
    <w:p w14:paraId="36F643C7">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131A864F">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根据《中华人民共和国民法典》，本着互利互惠的原则，就甲方委托乙方配送货物事宜，为了明确双方的责任，经双方协商，特签订本合同。</w:t>
      </w:r>
    </w:p>
    <w:p w14:paraId="2E06657F">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第一条  运输货物</w:t>
      </w:r>
    </w:p>
    <w:p w14:paraId="3F44C8D4">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u w:val="single"/>
          <w:lang w:val="en-US"/>
        </w:rPr>
      </w:pPr>
      <w:r>
        <w:rPr>
          <w:rFonts w:hint="eastAsia" w:ascii="微软雅黑" w:hAnsi="微软雅黑" w:eastAsia="微软雅黑" w:cs="微软雅黑"/>
          <w:kern w:val="2"/>
          <w:sz w:val="24"/>
          <w:szCs w:val="24"/>
          <w:lang w:val="en-US" w:eastAsia="zh-CN" w:bidi="ar"/>
        </w:rPr>
        <w:t>编号：</w:t>
      </w:r>
      <w:r>
        <w:rPr>
          <w:rFonts w:hint="eastAsia" w:ascii="微软雅黑" w:hAnsi="微软雅黑" w:eastAsia="微软雅黑" w:cs="微软雅黑"/>
          <w:kern w:val="2"/>
          <w:sz w:val="24"/>
          <w:szCs w:val="24"/>
          <w:u w:val="single"/>
          <w:lang w:val="en-US" w:eastAsia="zh-CN" w:bidi="ar"/>
        </w:rPr>
        <w:t xml:space="preserve">                        </w:t>
      </w:r>
    </w:p>
    <w:p w14:paraId="0BF30677">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u w:val="single"/>
          <w:lang w:val="en-US"/>
        </w:rPr>
      </w:pPr>
      <w:r>
        <w:rPr>
          <w:rFonts w:hint="eastAsia" w:ascii="微软雅黑" w:hAnsi="微软雅黑" w:eastAsia="微软雅黑" w:cs="微软雅黑"/>
          <w:kern w:val="2"/>
          <w:sz w:val="24"/>
          <w:szCs w:val="24"/>
          <w:lang w:val="en-US" w:eastAsia="zh-CN" w:bidi="ar"/>
        </w:rPr>
        <w:t>品名：</w:t>
      </w:r>
      <w:r>
        <w:rPr>
          <w:rFonts w:hint="eastAsia" w:ascii="微软雅黑" w:hAnsi="微软雅黑" w:eastAsia="微软雅黑" w:cs="微软雅黑"/>
          <w:kern w:val="2"/>
          <w:sz w:val="24"/>
          <w:szCs w:val="24"/>
          <w:u w:val="single"/>
          <w:lang w:val="en-US" w:eastAsia="zh-CN" w:bidi="ar"/>
        </w:rPr>
        <w:t xml:space="preserve">                        </w:t>
      </w:r>
    </w:p>
    <w:p w14:paraId="732A6553">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u w:val="single"/>
          <w:lang w:val="en-US"/>
        </w:rPr>
      </w:pPr>
      <w:r>
        <w:rPr>
          <w:rFonts w:hint="eastAsia" w:ascii="微软雅黑" w:hAnsi="微软雅黑" w:eastAsia="微软雅黑" w:cs="微软雅黑"/>
          <w:kern w:val="2"/>
          <w:sz w:val="24"/>
          <w:szCs w:val="24"/>
          <w:lang w:val="en-US" w:eastAsia="zh-CN" w:bidi="ar"/>
        </w:rPr>
        <w:t>规格：</w:t>
      </w:r>
      <w:r>
        <w:rPr>
          <w:rFonts w:hint="eastAsia" w:ascii="微软雅黑" w:hAnsi="微软雅黑" w:eastAsia="微软雅黑" w:cs="微软雅黑"/>
          <w:kern w:val="2"/>
          <w:sz w:val="24"/>
          <w:szCs w:val="24"/>
          <w:u w:val="single"/>
          <w:lang w:val="en-US" w:eastAsia="zh-CN" w:bidi="ar"/>
        </w:rPr>
        <w:t xml:space="preserve">                        </w:t>
      </w:r>
    </w:p>
    <w:p w14:paraId="4754FE61">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u w:val="single"/>
          <w:lang w:val="en-US"/>
        </w:rPr>
      </w:pPr>
      <w:r>
        <w:rPr>
          <w:rFonts w:hint="eastAsia" w:ascii="微软雅黑" w:hAnsi="微软雅黑" w:eastAsia="微软雅黑" w:cs="微软雅黑"/>
          <w:kern w:val="2"/>
          <w:sz w:val="24"/>
          <w:szCs w:val="24"/>
          <w:lang w:val="en-US" w:eastAsia="zh-CN" w:bidi="ar"/>
        </w:rPr>
        <w:t>单位：</w:t>
      </w:r>
      <w:r>
        <w:rPr>
          <w:rFonts w:hint="eastAsia" w:ascii="微软雅黑" w:hAnsi="微软雅黑" w:eastAsia="微软雅黑" w:cs="微软雅黑"/>
          <w:kern w:val="2"/>
          <w:sz w:val="24"/>
          <w:szCs w:val="24"/>
          <w:u w:val="single"/>
          <w:lang w:val="en-US" w:eastAsia="zh-CN" w:bidi="ar"/>
        </w:rPr>
        <w:t xml:space="preserve">                        </w:t>
      </w:r>
    </w:p>
    <w:p w14:paraId="3AB0F42A">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u w:val="single"/>
          <w:lang w:val="en-US"/>
        </w:rPr>
      </w:pPr>
      <w:r>
        <w:rPr>
          <w:rFonts w:hint="eastAsia" w:ascii="微软雅黑" w:hAnsi="微软雅黑" w:eastAsia="微软雅黑" w:cs="微软雅黑"/>
          <w:kern w:val="2"/>
          <w:sz w:val="24"/>
          <w:szCs w:val="24"/>
          <w:lang w:val="en-US" w:eastAsia="zh-CN" w:bidi="ar"/>
        </w:rPr>
        <w:t>单价：</w:t>
      </w:r>
      <w:r>
        <w:rPr>
          <w:rFonts w:hint="eastAsia" w:ascii="微软雅黑" w:hAnsi="微软雅黑" w:eastAsia="微软雅黑" w:cs="微软雅黑"/>
          <w:kern w:val="2"/>
          <w:sz w:val="24"/>
          <w:szCs w:val="24"/>
          <w:u w:val="single"/>
          <w:lang w:val="en-US" w:eastAsia="zh-CN" w:bidi="ar"/>
        </w:rPr>
        <w:t xml:space="preserve">                        </w:t>
      </w:r>
    </w:p>
    <w:p w14:paraId="133CED93">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数量：</w:t>
      </w:r>
      <w:r>
        <w:rPr>
          <w:rFonts w:hint="eastAsia" w:ascii="微软雅黑" w:hAnsi="微软雅黑" w:eastAsia="微软雅黑" w:cs="微软雅黑"/>
          <w:kern w:val="2"/>
          <w:sz w:val="24"/>
          <w:szCs w:val="24"/>
          <w:u w:val="single"/>
          <w:lang w:val="en-US" w:eastAsia="zh-CN" w:bidi="ar"/>
        </w:rPr>
        <w:t xml:space="preserve">                        </w:t>
      </w:r>
    </w:p>
    <w:p w14:paraId="5E3F773A">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b/>
          <w:bCs/>
          <w:kern w:val="2"/>
          <w:sz w:val="24"/>
          <w:szCs w:val="24"/>
          <w:lang w:val="en-US" w:eastAsia="zh-CN" w:bidi="ar"/>
        </w:rPr>
      </w:pPr>
    </w:p>
    <w:p w14:paraId="3161D5A1">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第二条  包装要求</w:t>
      </w:r>
    </w:p>
    <w:p w14:paraId="4582C35A">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甲方必须按照国家主管机关规定的标准包装货物，没有统一规定包装标准的，应根据保证货物运输安全的原则进行包装，否则乙方有权拒绝承运。</w:t>
      </w:r>
    </w:p>
    <w:p w14:paraId="2D69B5C0">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4FF7510D">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第三条　配送区域</w:t>
      </w:r>
    </w:p>
    <w:p w14:paraId="4643FC88">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kern w:val="2"/>
          <w:sz w:val="24"/>
          <w:szCs w:val="24"/>
          <w:u w:val="single"/>
          <w:lang w:val="en-US" w:eastAsia="zh-CN" w:bidi="ar"/>
        </w:rPr>
      </w:pPr>
      <w:r>
        <w:rPr>
          <w:rFonts w:hint="eastAsia" w:ascii="微软雅黑" w:hAnsi="微软雅黑" w:eastAsia="微软雅黑" w:cs="微软雅黑"/>
          <w:kern w:val="2"/>
          <w:sz w:val="24"/>
          <w:szCs w:val="24"/>
          <w:u w:val="single"/>
          <w:lang w:val="en-US" w:eastAsia="zh-CN" w:bidi="ar"/>
        </w:rPr>
        <w:t xml:space="preserve">                                               </w:t>
      </w:r>
    </w:p>
    <w:p w14:paraId="0AD36580">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26DAEE83">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第四条　合同期限</w:t>
      </w:r>
    </w:p>
    <w:p w14:paraId="3D8FC188">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kern w:val="2"/>
          <w:sz w:val="24"/>
          <w:szCs w:val="24"/>
          <w:u w:val="none"/>
          <w:lang w:val="en-US" w:eastAsia="zh-CN" w:bidi="ar"/>
        </w:rPr>
        <w:t>有效期：</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年</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月</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日至</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年</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月</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日，合同期满后，经双方就合同约定价格再行协商，在同等条件下优先续签。</w:t>
      </w:r>
    </w:p>
    <w:p w14:paraId="39323668">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6F604F9D">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第五条　运输质量及安全要求</w:t>
      </w:r>
    </w:p>
    <w:p w14:paraId="7FD518A0">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乙方必须用符合甲方配送货的车辆，为甲方实行优质、快捷、安全的配送货服务。保证甲方的货物按规定、要求、时间保质保量地配送至目的地。每天运输前双方议定运输重量，超重时价格另定。</w:t>
      </w:r>
    </w:p>
    <w:p w14:paraId="00337453">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3EC854F6">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b/>
          <w:bCs/>
          <w:kern w:val="2"/>
          <w:sz w:val="24"/>
          <w:szCs w:val="24"/>
          <w:lang w:val="en-US" w:eastAsia="zh-CN" w:bidi="ar"/>
        </w:rPr>
        <w:t>第六条　货物装卸责任　</w:t>
      </w:r>
      <w:r>
        <w:rPr>
          <w:rFonts w:hint="eastAsia" w:ascii="微软雅黑" w:hAnsi="微软雅黑" w:eastAsia="微软雅黑" w:cs="微软雅黑"/>
          <w:kern w:val="2"/>
          <w:sz w:val="24"/>
          <w:szCs w:val="24"/>
          <w:lang w:val="en-US" w:eastAsia="zh-CN" w:bidi="ar"/>
        </w:rPr>
        <w:t>　</w:t>
      </w:r>
    </w:p>
    <w:p w14:paraId="5BB999BD">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货物的装车工作由乙方负责，卸车工作由收货人负责，在装卸过程中发生的一切责任由乙方、收货人承担。</w:t>
      </w:r>
    </w:p>
    <w:p w14:paraId="31760E88">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09A257A0">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第七条　领取货物及验收办法</w:t>
      </w:r>
    </w:p>
    <w:p w14:paraId="047571E4">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收货人凭有效证件、单据（或凭据）与乙方对证验收、领取货物。</w:t>
      </w:r>
    </w:p>
    <w:p w14:paraId="7E9C822B">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第八条　收费标准与费用结算方式</w:t>
      </w:r>
    </w:p>
    <w:p w14:paraId="7B55A892">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甲方收到乙方所提供的符合本合同约定的单据后，每月</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日结算第</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个月的费用。</w:t>
      </w:r>
    </w:p>
    <w:p w14:paraId="40FA0C15">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51EEC7B0">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第九条　甲方权利和义务</w:t>
      </w:r>
    </w:p>
    <w:p w14:paraId="1D09A40F">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甲方负责将货物配齐，要求乙方按照约定的时间、地点、收货人，把货物配送到目的地。配送通知发乙方后，甲方需变更到货地点或收货人，或者取消通知，有权向乙方提出，但必须在货物未运到目的地之前，并应按有关规定付给乙方费用。</w:t>
      </w:r>
    </w:p>
    <w:p w14:paraId="6AABD2F9">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2、甲方有权对乙方的配送货过程进行监督、指导。</w:t>
      </w:r>
    </w:p>
    <w:p w14:paraId="1AD29A9B">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3、甲方委托的货物应遵守国家有关法律规定，并符合包装标准。</w:t>
      </w:r>
    </w:p>
    <w:p w14:paraId="344DDE35">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4、甲方按约定向乙方交付配送费用。</w:t>
      </w:r>
    </w:p>
    <w:p w14:paraId="0DAC3C0E">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5、甲方应向乙方提供有关配送货业务的相应单据文件（产品、型号、数量、客户准确地址及电话号码、联系人等）。</w:t>
      </w:r>
    </w:p>
    <w:p w14:paraId="79142B9F">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6、甲方指派专人负责与乙方联系并协调配送货过程中有关事宜。</w:t>
      </w:r>
    </w:p>
    <w:p w14:paraId="3CBE8325">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7、合同期内，乙方是甲方省内区域（包括市郊）的唯一配送商，未经乙方同意，甲方不得另寻配送商，否则，乙方有权解除合同。</w:t>
      </w:r>
    </w:p>
    <w:p w14:paraId="07AA8401">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0006ED5C">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第十条　乙方权利和义务</w:t>
      </w:r>
    </w:p>
    <w:p w14:paraId="5AD6C908">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1、向甲方收取配送费用。查不到收货人或收货人拒绝领取货物，乙方就及时与甲方联系，在规定期限内负责保管并有权向甲方收取保管费用。</w:t>
      </w:r>
    </w:p>
    <w:p w14:paraId="46F41449">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2、根据甲方的业务需要与发展，提供相应的运输能力。</w:t>
      </w:r>
    </w:p>
    <w:p w14:paraId="214627BA">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u w:val="single"/>
          <w:lang w:val="en-US"/>
        </w:rPr>
      </w:pPr>
      <w:r>
        <w:rPr>
          <w:rFonts w:hint="eastAsia" w:ascii="微软雅黑" w:hAnsi="微软雅黑" w:eastAsia="微软雅黑" w:cs="微软雅黑"/>
          <w:kern w:val="2"/>
          <w:sz w:val="24"/>
          <w:szCs w:val="24"/>
          <w:lang w:val="en-US" w:eastAsia="zh-CN" w:bidi="ar"/>
        </w:rPr>
        <w:t>3、在约定的时限内，将货物运到指定的地点，按时向收货人发出货物到达的通知。对托运的货物要负责安全，保证货物无短缺、无损坏。在货物到达以后，按规定的期限，负责保管。</w:t>
      </w:r>
    </w:p>
    <w:p w14:paraId="1B365AB6">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4、乙方应在甲方指定的地点提取货物，在装货过程中，乙方的驾驶员应负责进行监装，对装货过程中的不当操作有责任指出并纠正，乙方将货物送往甲方指定的目的地和接收人，由收货人、乙方司机双方签字盖章确认。交货时如发现产品损坏或产品、数量、型号、规格不符等问题，乙方应要求接收人注明，接收人所盖印章应为商家签订的配送委托书规定的公章或收货专用章，乙方凭甲方认可的配送反馈单与甲方进行结算。</w:t>
      </w:r>
    </w:p>
    <w:p w14:paraId="3DA6E6DE">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4CDB081B">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第十一条　违约责任</w:t>
      </w:r>
    </w:p>
    <w:p w14:paraId="4FA55C13">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1、甲方不按时与乙方结算配送费用，每超</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天偿付给乙方当月结算费用</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%的违约金，但由于乙方提供的结算单据不及时除外。</w:t>
      </w:r>
    </w:p>
    <w:p w14:paraId="09FAEF0F">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2、因甲方原因，造成乙方的承运车不能及时返回，甲方应根据当次加付运费</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%作为补偿金。（规定卸货时间为</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小时）</w:t>
      </w:r>
    </w:p>
    <w:p w14:paraId="50058A18">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3、甲方负责为乙方营造良好的服务环境，如甲方员工在货物配送过程中发生以下现象之一的，甲方应向乙方支付违约金</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元/次（大写：</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w:t>
      </w:r>
    </w:p>
    <w:p w14:paraId="1612636B">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（1）不按预约时间装卸货物。</w:t>
      </w:r>
    </w:p>
    <w:p w14:paraId="005414C7">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kern w:val="2"/>
          <w:sz w:val="24"/>
          <w:szCs w:val="24"/>
          <w:lang w:val="en-US" w:eastAsia="zh-CN" w:bidi="ar"/>
        </w:rPr>
        <w:t>（2）装卸货物中存在暴力装卸行为，经指正后仍不改正。</w:t>
      </w:r>
    </w:p>
    <w:p w14:paraId="50CA574B">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（3）甲方协调不到位，造成乙方被投诉。</w:t>
      </w:r>
    </w:p>
    <w:p w14:paraId="1875D431">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（4）甲方错发货物造成乙方承运货物被拒收，返程运费由甲方支付。</w:t>
      </w:r>
    </w:p>
    <w:p w14:paraId="634FC1C1">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4、由于在货物中夹带、匿报危险货物，而招致货物破损、爆炸，造成人身伤亡的，甲方应承担由此造成的一切责任。</w:t>
      </w:r>
    </w:p>
    <w:p w14:paraId="402C41E9">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5、乙方如送货到达时间延迟，则应向甲方支付当次运输费</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%的违约金（堵车、修路、交通管制除外），若乙方送达目的地错误，应自费将货物送达甲方要求的目的地，因此给甲方造成的损失由乙方负责赔偿。</w:t>
      </w:r>
    </w:p>
    <w:p w14:paraId="2ED3C149">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6、经双方确认，货物在运输途中造成的破损、遗失、短缺等任何损失，由乙方负责赔偿，赔偿值按批发价计算，且乙方不得擅自拆除货物并重新包装，因以上原因造成甲方违约或其他损失后，由乙方负责赔偿。</w:t>
      </w:r>
    </w:p>
    <w:p w14:paraId="47CC6A56">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7、乙方有责任为甲方提供优质服务，如乙方员工在货物配送过程中发生以下现象之一的（属于乙方责任造成的），乙方应向甲方支付违约金</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元（大写：</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）/次，同时乙方应按本合同继续履行合同：</w:t>
      </w:r>
    </w:p>
    <w:p w14:paraId="09903C42">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（1）不按时运送货物，造成用户投诉。</w:t>
      </w:r>
    </w:p>
    <w:p w14:paraId="56C95E41">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（2）在运输过程中，损坏货物并强行留给用户，造成用户投诉。</w:t>
      </w:r>
    </w:p>
    <w:p w14:paraId="68142458">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kern w:val="2"/>
          <w:sz w:val="24"/>
          <w:szCs w:val="24"/>
          <w:lang w:val="en-US" w:eastAsia="zh-CN" w:bidi="ar"/>
        </w:rPr>
        <w:t>（3）在运送过程中，送错货物，造成用户投诉。</w:t>
      </w:r>
    </w:p>
    <w:p w14:paraId="33C8DACF">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kern w:val="2"/>
          <w:sz w:val="24"/>
          <w:szCs w:val="24"/>
          <w:lang w:val="en-US" w:eastAsia="zh-CN" w:bidi="ar"/>
        </w:rPr>
        <w:t>（4）在装卸货物中，司机刁难用户，造成用户投诉。</w:t>
      </w:r>
    </w:p>
    <w:p w14:paraId="7A73983F">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p>
    <w:p w14:paraId="34587B27">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 </w:t>
      </w:r>
    </w:p>
    <w:p w14:paraId="5C41D137">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0B304088">
      <w:pPr>
        <w:keepNext w:val="0"/>
        <w:keepLines w:val="0"/>
        <w:pageBreakBefore w:val="0"/>
        <w:tabs>
          <w:tab w:val="left" w:pos="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 xml:space="preserve">第十二条  </w:t>
      </w:r>
      <w:r>
        <w:rPr>
          <w:rFonts w:hint="eastAsia" w:ascii="微软雅黑" w:hAnsi="微软雅黑" w:eastAsia="微软雅黑" w:cs="微软雅黑"/>
          <w:b/>
          <w:bCs/>
          <w:color w:val="000000" w:themeColor="text1"/>
          <w:sz w:val="24"/>
          <w:szCs w:val="24"/>
          <w14:textFill>
            <w14:solidFill>
              <w14:schemeClr w14:val="tx1"/>
            </w14:solidFill>
          </w14:textFill>
        </w:rPr>
        <w:t>免责条款</w:t>
      </w:r>
    </w:p>
    <w:p w14:paraId="573BEA3B">
      <w:pPr>
        <w:keepNext w:val="0"/>
        <w:keepLines w:val="0"/>
        <w:pageBreakBefore w:val="0"/>
        <w:widowControl w:val="0"/>
        <w:suppressLineNumbers w:val="0"/>
        <w:kinsoku/>
        <w:overflowPunct/>
        <w:topLinePunct w:val="0"/>
        <w:autoSpaceDE w:val="0"/>
        <w:autoSpaceDN w:val="0"/>
        <w:bidi w:val="0"/>
        <w:adjustRightInd/>
        <w:snapToGrid/>
        <w:spacing w:before="0" w:beforeAutospacing="0" w:after="0" w:afterAutospacing="0" w:line="360" w:lineRule="auto"/>
        <w:ind w:left="0" w:leftChars="0" w:right="0" w:firstLine="480" w:firstLineChars="200"/>
        <w:jc w:val="both"/>
        <w:textAlignment w:val="auto"/>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258353F8">
      <w:pPr>
        <w:keepNext w:val="0"/>
        <w:keepLines w:val="0"/>
        <w:pageBreakBefore w:val="0"/>
        <w:widowControl w:val="0"/>
        <w:suppressLineNumbers w:val="0"/>
        <w:kinsoku/>
        <w:overflowPunct/>
        <w:topLinePunct w:val="0"/>
        <w:autoSpaceDE w:val="0"/>
        <w:autoSpaceDN w:val="0"/>
        <w:bidi w:val="0"/>
        <w:adjustRightInd/>
        <w:snapToGrid/>
        <w:spacing w:before="0" w:beforeAutospacing="0" w:after="0" w:afterAutospacing="0" w:line="360" w:lineRule="auto"/>
        <w:ind w:left="0" w:leftChars="0" w:right="0" w:firstLine="480" w:firstLineChars="200"/>
        <w:jc w:val="both"/>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2、当出现双方在订立合同时无法预见的、不属于商业风险的重大变化，双方不能协商变更合同导致合同解除的，双方互不承担违约责任。</w:t>
      </w:r>
    </w:p>
    <w:p w14:paraId="41D4F560">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3、因治安管理案件或刑事犯罪案件，包括但不限于故意伤害、爆炸、偷盗、抢劫等导致人身伤害或财产损失的，由行为人承担责任</w:t>
      </w:r>
      <w:r>
        <w:rPr>
          <w:rFonts w:hint="eastAsia" w:ascii="微软雅黑" w:hAnsi="微软雅黑" w:eastAsia="微软雅黑" w:cs="微软雅黑"/>
          <w:bCs/>
          <w:color w:val="000000" w:themeColor="text1"/>
          <w:sz w:val="24"/>
          <w:szCs w:val="24"/>
          <w14:textFill>
            <w14:solidFill>
              <w14:schemeClr w14:val="tx1"/>
            </w14:solidFill>
          </w14:textFill>
        </w:rPr>
        <w:t>。</w:t>
      </w:r>
    </w:p>
    <w:p w14:paraId="48556AA4">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4、货物本身的自然属性；</w:t>
      </w:r>
    </w:p>
    <w:p w14:paraId="3A8BDE54">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kern w:val="2"/>
          <w:sz w:val="24"/>
          <w:szCs w:val="24"/>
          <w:lang w:val="en-US" w:eastAsia="zh-CN" w:bidi="ar"/>
        </w:rPr>
        <w:t>5、甲方或收货人本身的过错；</w:t>
      </w:r>
    </w:p>
    <w:p w14:paraId="237E7DAE">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39CCB89F">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第十三  其它约定</w:t>
      </w:r>
    </w:p>
    <w:p w14:paraId="1FAFF8C5">
      <w:pPr>
        <w:keepNext w:val="0"/>
        <w:keepLines w:val="0"/>
        <w:pageBreakBefore w:val="0"/>
        <w:widowControl w:val="0"/>
        <w:numPr>
          <w:ilvl w:val="0"/>
          <w:numId w:val="0"/>
        </w:numPr>
        <w:suppressLineNumbers w:val="0"/>
        <w:kinsoku/>
        <w:wordWrap w:val="0"/>
        <w:overflowPunct/>
        <w:topLinePunct w:val="0"/>
        <w:autoSpaceDE/>
        <w:autoSpaceDN/>
        <w:bidi w:val="0"/>
        <w:adjustRightInd/>
        <w:snapToGrid/>
        <w:spacing w:beforeAutospacing="0" w:afterAutospacing="0" w:line="360" w:lineRule="auto"/>
        <w:ind w:left="0" w:leftChars="0" w:right="0" w:rightChars="0" w:firstLine="480" w:firstLineChars="200"/>
        <w:jc w:val="both"/>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kern w:val="2"/>
          <w:sz w:val="24"/>
          <w:szCs w:val="24"/>
          <w:lang w:val="en-US" w:eastAsia="zh-CN" w:bidi="ar"/>
        </w:rPr>
        <w:t>一、甲方仅支付乙方运费。在运输途中发生的其他一切费用（如过路、过桥费等）全部由乙方负责。</w:t>
      </w:r>
    </w:p>
    <w:p w14:paraId="1FA71804">
      <w:pPr>
        <w:keepNext w:val="0"/>
        <w:keepLines w:val="0"/>
        <w:pageBreakBefore w:val="0"/>
        <w:widowControl w:val="0"/>
        <w:numPr>
          <w:ilvl w:val="0"/>
          <w:numId w:val="0"/>
        </w:numPr>
        <w:suppressLineNumbers w:val="0"/>
        <w:kinsoku/>
        <w:wordWrap w:val="0"/>
        <w:overflowPunct/>
        <w:topLinePunct w:val="0"/>
        <w:autoSpaceDE/>
        <w:autoSpaceDN/>
        <w:bidi w:val="0"/>
        <w:adjustRightInd/>
        <w:snapToGrid/>
        <w:spacing w:beforeAutospacing="0" w:afterAutospacing="0" w:line="360" w:lineRule="auto"/>
        <w:ind w:left="0" w:leftChars="0" w:right="0" w:rightChars="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SA"/>
        </w:rPr>
        <w:t>二、</w:t>
      </w:r>
      <w:r>
        <w:rPr>
          <w:rFonts w:hint="eastAsia" w:ascii="微软雅黑" w:hAnsi="微软雅黑" w:eastAsia="微软雅黑" w:cs="微软雅黑"/>
          <w:kern w:val="2"/>
          <w:sz w:val="24"/>
          <w:szCs w:val="24"/>
          <w:lang w:val="en-US" w:eastAsia="zh-CN" w:bidi="ar"/>
        </w:rPr>
        <w:t>双方不能以任何形式向公众透露对方的商业机密，否则，由此引起的任何损失（如名誉受损、经济受损等）均由泄密方负责赔偿。</w:t>
      </w:r>
    </w:p>
    <w:p w14:paraId="71C8EB59">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三、一方违约，另一方有权以书面形式通知对方解除本合同或双方签订的其他合同、协议，合同自发出通知之日起</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天后解除，由违约方承担违约责任。</w:t>
      </w:r>
    </w:p>
    <w:p w14:paraId="0179BBCF">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kern w:val="2"/>
          <w:sz w:val="24"/>
          <w:szCs w:val="24"/>
          <w:lang w:val="en-US" w:eastAsia="zh-CN" w:bidi="ar"/>
        </w:rPr>
        <w:t>四、本合同自双方法定代表人或者授权委托人签字并加盖公章之日起生效</w:t>
      </w:r>
    </w:p>
    <w:p w14:paraId="21DA50B5">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五、本合同如有未尽事宜，应由双方协商解决；协商不成时，按下列第</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种方式解决（只能选择一种）：</w:t>
      </w:r>
    </w:p>
    <w:p w14:paraId="4008A5EC">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（1）向</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仲裁委员会申请仲裁；</w:t>
      </w:r>
    </w:p>
    <w:p w14:paraId="3D1F3935">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（2）向</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人民法院起诉。</w:t>
      </w:r>
    </w:p>
    <w:p w14:paraId="3E57A00F">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kern w:val="2"/>
          <w:sz w:val="24"/>
          <w:szCs w:val="24"/>
          <w:lang w:val="en-US" w:eastAsia="zh-CN" w:bidi="ar"/>
        </w:rPr>
        <w:t>六、本合同一式</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份，甲乙双方各执</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份，具有同等法律效力。</w:t>
      </w:r>
    </w:p>
    <w:p w14:paraId="2595B571">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七、</w:t>
      </w:r>
      <w:r>
        <w:rPr>
          <w:rFonts w:hint="eastAsia" w:ascii="微软雅黑" w:hAnsi="微软雅黑" w:eastAsia="微软雅黑" w:cs="微软雅黑"/>
          <w:color w:val="000000" w:themeColor="text1"/>
          <w:sz w:val="24"/>
          <w:szCs w:val="24"/>
          <w14:textFill>
            <w14:solidFill>
              <w14:schemeClr w14:val="tx1"/>
            </w14:solidFill>
          </w14:textFill>
        </w:rPr>
        <w:t>送达地址以及送达条款</w:t>
      </w:r>
    </w:p>
    <w:p w14:paraId="0F9F385B">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送达地址以及方式</w:t>
      </w:r>
    </w:p>
    <w:p w14:paraId="6EC0BDE2">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（一）送达地址</w:t>
      </w:r>
    </w:p>
    <w:p w14:paraId="17BC1B15">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1.</w:t>
      </w:r>
      <w:r>
        <w:rPr>
          <w:rFonts w:hint="eastAsia" w:ascii="微软雅黑" w:hAnsi="微软雅黑" w:eastAsia="微软雅黑" w:cs="微软雅黑"/>
          <w:color w:val="000000" w:themeColor="text1"/>
          <w:sz w:val="24"/>
          <w:szCs w:val="24"/>
          <w14:textFill>
            <w14:solidFill>
              <w14:schemeClr w14:val="tx1"/>
            </w14:solidFill>
          </w14:textFill>
        </w:rPr>
        <w:t>甲方确认送达地址如下：</w:t>
      </w:r>
    </w:p>
    <w:p w14:paraId="12B4CA75">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地址：    省    市    区/县    路    号，</w:t>
      </w:r>
    </w:p>
    <w:p w14:paraId="13E12D91">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邮编：            ，</w:t>
      </w:r>
    </w:p>
    <w:p w14:paraId="701B914F">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联系人：      ，</w:t>
      </w:r>
    </w:p>
    <w:p w14:paraId="620E46F2">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联系电话：      -            。</w:t>
      </w:r>
    </w:p>
    <w:p w14:paraId="61E78C53">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甲方电子送达方式如下：</w:t>
      </w:r>
    </w:p>
    <w:p w14:paraId="0A28624C">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手机短信：                  </w:t>
      </w:r>
    </w:p>
    <w:p w14:paraId="010DA6AE">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传真：      -            </w:t>
      </w:r>
    </w:p>
    <w:p w14:paraId="4DE7A25E">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即时通讯账号（微信号）：                  </w:t>
      </w:r>
    </w:p>
    <w:p w14:paraId="79C65657">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电子邮箱：            。</w:t>
      </w:r>
    </w:p>
    <w:p w14:paraId="5AB95168">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369F439A">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2.</w:t>
      </w:r>
      <w:r>
        <w:rPr>
          <w:rFonts w:hint="eastAsia" w:ascii="微软雅黑" w:hAnsi="微软雅黑" w:eastAsia="微软雅黑" w:cs="微软雅黑"/>
          <w:color w:val="000000" w:themeColor="text1"/>
          <w:sz w:val="24"/>
          <w:szCs w:val="24"/>
          <w14:textFill>
            <w14:solidFill>
              <w14:schemeClr w14:val="tx1"/>
            </w14:solidFill>
          </w14:textFill>
        </w:rPr>
        <w:t>乙方确认送达地址如下：</w:t>
      </w:r>
    </w:p>
    <w:p w14:paraId="7E7C9866">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地址：    省    市    区/县    路    号，</w:t>
      </w:r>
    </w:p>
    <w:p w14:paraId="5F903066">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邮编：            ，</w:t>
      </w:r>
    </w:p>
    <w:p w14:paraId="6B7BF98F">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联系人：      ，</w:t>
      </w:r>
    </w:p>
    <w:p w14:paraId="042FC6FD">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联系电话：      -            。</w:t>
      </w:r>
    </w:p>
    <w:p w14:paraId="6C1BB88A">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乙方电子送达方式如下：</w:t>
      </w:r>
    </w:p>
    <w:p w14:paraId="65C9E3F0">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手机短信：                  </w:t>
      </w:r>
    </w:p>
    <w:p w14:paraId="415350C6">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传真：      -            </w:t>
      </w:r>
    </w:p>
    <w:p w14:paraId="4F738383">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即时通讯账号（微信号）：                  </w:t>
      </w:r>
    </w:p>
    <w:p w14:paraId="4086E9D6">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电子邮箱：</w:t>
      </w:r>
    </w:p>
    <w:p w14:paraId="3494109D">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（二）送达方式</w:t>
      </w:r>
    </w:p>
    <w:p w14:paraId="56011DE9">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 双方同意，本合同项下的通知、函件、诉讼文书等文件，以下列方式送达对方：</w:t>
      </w:r>
    </w:p>
    <w:p w14:paraId="59DA82F1">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1.</w:t>
      </w:r>
      <w:r>
        <w:rPr>
          <w:rFonts w:hint="eastAsia" w:ascii="微软雅黑" w:hAnsi="微软雅黑" w:eastAsia="微软雅黑" w:cs="微软雅黑"/>
          <w:color w:val="000000" w:themeColor="text1"/>
          <w:sz w:val="24"/>
          <w:szCs w:val="24"/>
          <w14:textFill>
            <w14:solidFill>
              <w14:schemeClr w14:val="tx1"/>
            </w14:solidFill>
          </w14:textFill>
        </w:rPr>
        <w:t>直接送达：将文件送至对方指定的送达地址，视为已送达；</w:t>
      </w:r>
    </w:p>
    <w:p w14:paraId="4F4430FA">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2.</w:t>
      </w:r>
      <w:r>
        <w:rPr>
          <w:rFonts w:hint="eastAsia" w:ascii="微软雅黑" w:hAnsi="微软雅黑" w:eastAsia="微软雅黑" w:cs="微软雅黑"/>
          <w:color w:val="000000" w:themeColor="text1"/>
          <w:sz w:val="24"/>
          <w:szCs w:val="24"/>
          <w14:textFill>
            <w14:solidFill>
              <w14:schemeClr w14:val="tx1"/>
            </w14:solidFill>
          </w14:textFill>
        </w:rPr>
        <w:t>邮寄送达：将文件通过挂号信、特快专递等方式寄至对方指定的送达地址，以邮戳日期为准，视为已送达；</w:t>
      </w:r>
    </w:p>
    <w:p w14:paraId="568748F8">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3.</w:t>
      </w:r>
      <w:r>
        <w:rPr>
          <w:rFonts w:hint="eastAsia" w:ascii="微软雅黑" w:hAnsi="微软雅黑" w:eastAsia="微软雅黑" w:cs="微软雅黑"/>
          <w:color w:val="000000" w:themeColor="text1"/>
          <w:sz w:val="24"/>
          <w:szCs w:val="24"/>
          <w14:textFill>
            <w14:solidFill>
              <w14:schemeClr w14:val="tx1"/>
            </w14:solidFill>
          </w14:textFill>
        </w:rPr>
        <w:t>电子送达：将文件通过电子邮件、短信、微信等方式发送至对方指定的电子邮箱、手机号码等，发送成功即视为已送达。</w:t>
      </w:r>
    </w:p>
    <w:p w14:paraId="1129DDC7">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送达条款</w:t>
      </w:r>
    </w:p>
    <w:p w14:paraId="211E7E1B">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lang w:eastAsia="zh-CN"/>
          <w14:textFill>
            <w14:solidFill>
              <w14:schemeClr w14:val="tx1"/>
            </w14:solidFill>
          </w14:textFill>
        </w:rPr>
        <w:t>一</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lang w:eastAsia="zh-CN"/>
          <w14:textFill>
            <w14:solidFill>
              <w14:schemeClr w14:val="tx1"/>
            </w14:solidFill>
          </w14:textFill>
        </w:rPr>
        <w:t>本送达条款适用于合同履行履行期间及合同纠纷解决过程中的所有文件送达。</w:t>
      </w:r>
    </w:p>
    <w:p w14:paraId="246CAA3F">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（二）</w:t>
      </w:r>
      <w:r>
        <w:rPr>
          <w:rFonts w:hint="eastAsia" w:ascii="微软雅黑" w:hAnsi="微软雅黑" w:eastAsia="微软雅黑" w:cs="微软雅黑"/>
          <w:color w:val="000000" w:themeColor="text1"/>
          <w:sz w:val="24"/>
          <w:szCs w:val="24"/>
          <w14:textFill>
            <w14:solidFill>
              <w14:schemeClr w14:val="tx1"/>
            </w14:solidFill>
          </w14:textFill>
        </w:rPr>
        <w:t>法院、仲裁委员会、合同项下任何一方等主体有权依据本合</w:t>
      </w:r>
      <w:r>
        <w:rPr>
          <w:rFonts w:hint="eastAsia" w:ascii="微软雅黑" w:hAnsi="微软雅黑" w:eastAsia="微软雅黑" w:cs="微软雅黑"/>
          <w:color w:val="000000" w:themeColor="text1"/>
          <w:sz w:val="24"/>
          <w:szCs w:val="24"/>
          <w:lang w:eastAsia="zh-CN"/>
          <w14:textFill>
            <w14:solidFill>
              <w14:schemeClr w14:val="tx1"/>
            </w14:solidFill>
          </w14:textFill>
        </w:rPr>
        <w:t>同</w:t>
      </w:r>
      <w:r>
        <w:rPr>
          <w:rFonts w:hint="eastAsia" w:ascii="微软雅黑" w:hAnsi="微软雅黑" w:eastAsia="微软雅黑" w:cs="微软雅黑"/>
          <w:color w:val="000000" w:themeColor="text1"/>
          <w:sz w:val="24"/>
          <w:szCs w:val="24"/>
          <w14:textFill>
            <w14:solidFill>
              <w14:schemeClr w14:val="tx1"/>
            </w14:solidFill>
          </w14:textFill>
        </w:rPr>
        <w:t>约定地址向另一方发出的通知、信件、数据电文等内容，如因包括不限于搬迁、注销、更换地址等接收方原因造成无法送达的，不利后果由接收方自行承担。</w:t>
      </w:r>
    </w:p>
    <w:p w14:paraId="296B9E0F">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lang w:eastAsia="zh-CN"/>
          <w14:textFill>
            <w14:solidFill>
              <w14:schemeClr w14:val="tx1"/>
            </w14:solidFill>
          </w14:textFill>
        </w:rPr>
        <w:t>三</w:t>
      </w:r>
      <w:r>
        <w:rPr>
          <w:rFonts w:hint="eastAsia" w:ascii="微软雅黑" w:hAnsi="微软雅黑" w:eastAsia="微软雅黑" w:cs="微软雅黑"/>
          <w:color w:val="000000" w:themeColor="text1"/>
          <w:sz w:val="24"/>
          <w:szCs w:val="24"/>
          <w14:textFill>
            <w14:solidFill>
              <w14:schemeClr w14:val="tx1"/>
            </w14:solidFill>
          </w14:textFill>
        </w:rPr>
        <w:t>）双方在合同履行过程中由双方共同明示或默示确认的合同约定外的送达地址和联系方式不影响送达效力。</w:t>
      </w:r>
    </w:p>
    <w:p w14:paraId="29EE840A">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lang w:eastAsia="zh-CN"/>
          <w14:textFill>
            <w14:solidFill>
              <w14:schemeClr w14:val="tx1"/>
            </w14:solidFill>
          </w14:textFill>
        </w:rPr>
        <w:t>四</w:t>
      </w:r>
      <w:r>
        <w:rPr>
          <w:rFonts w:hint="eastAsia" w:ascii="微软雅黑" w:hAnsi="微软雅黑" w:eastAsia="微软雅黑" w:cs="微软雅黑"/>
          <w:color w:val="000000" w:themeColor="text1"/>
          <w:sz w:val="24"/>
          <w:szCs w:val="24"/>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5CFC8691">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lang w:eastAsia="zh-CN"/>
          <w14:textFill>
            <w14:solidFill>
              <w14:schemeClr w14:val="tx1"/>
            </w14:solidFill>
          </w14:textFill>
        </w:rPr>
        <w:t>五</w:t>
      </w:r>
      <w:r>
        <w:rPr>
          <w:rFonts w:hint="eastAsia" w:ascii="微软雅黑" w:hAnsi="微软雅黑" w:eastAsia="微软雅黑" w:cs="微软雅黑"/>
          <w:color w:val="000000" w:themeColor="text1"/>
          <w:sz w:val="24"/>
          <w:szCs w:val="24"/>
          <w14:textFill>
            <w14:solidFill>
              <w14:schemeClr w14:val="tx1"/>
            </w14:solidFill>
          </w14:textFill>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color w:val="000000" w:themeColor="text1"/>
          <w:sz w:val="24"/>
          <w:szCs w:val="24"/>
          <w:lang w:eastAsia="zh-CN"/>
          <w14:textFill>
            <w14:solidFill>
              <w14:schemeClr w14:val="tx1"/>
            </w14:solidFill>
          </w14:textFill>
        </w:rPr>
        <w:t>及时</w:t>
      </w:r>
      <w:r>
        <w:rPr>
          <w:rFonts w:hint="eastAsia" w:ascii="微软雅黑" w:hAnsi="微软雅黑" w:eastAsia="微软雅黑" w:cs="微软雅黑"/>
          <w:color w:val="000000" w:themeColor="text1"/>
          <w:sz w:val="24"/>
          <w:szCs w:val="24"/>
          <w14:textFill>
            <w14:solidFill>
              <w14:schemeClr w14:val="tx1"/>
            </w14:solidFill>
          </w14:textFill>
        </w:rPr>
        <w:t>通知的，发送方按照原约定方式送达，视为送达成功。</w:t>
      </w:r>
    </w:p>
    <w:p w14:paraId="52DAE3FA">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lang w:eastAsia="zh-CN"/>
          <w14:textFill>
            <w14:solidFill>
              <w14:schemeClr w14:val="tx1"/>
            </w14:solidFill>
          </w14:textFill>
        </w:rPr>
        <w:t>六</w:t>
      </w:r>
      <w:r>
        <w:rPr>
          <w:rFonts w:hint="eastAsia" w:ascii="微软雅黑" w:hAnsi="微软雅黑" w:eastAsia="微软雅黑" w:cs="微软雅黑"/>
          <w:color w:val="000000" w:themeColor="text1"/>
          <w:sz w:val="24"/>
          <w:szCs w:val="24"/>
          <w14:textFill>
            <w14:solidFill>
              <w14:schemeClr w14:val="tx1"/>
            </w14:solidFill>
          </w14:textFill>
        </w:rPr>
        <w:t>）双方发生争议，关于裁判机构的送达文书，接收方存在以下行为之一的，</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仲裁委员会有权依据法律和适时有效的仲裁规则规定进行送达，法律与仲裁规则规定程序完成之日，视为送达成功：</w:t>
      </w:r>
    </w:p>
    <w:p w14:paraId="4ABCD628">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1.擅自变更送达地址及信息且未及时通知对方的</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2A69CCD1">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2.送达地址与信息同工商登记信息不一致且未及时更改的</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626EA382">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3.故意不接收</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仲裁委员会送达文书的</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37072758">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bCs/>
          <w:color w:val="000000" w:themeColor="text1"/>
          <w:sz w:val="24"/>
          <w:szCs w:val="24"/>
          <w:u w:val="single"/>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4.因接收方过错造成无法正常送达的其他行为</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1792CA8E">
      <w:pPr>
        <w:keepNext w:val="0"/>
        <w:keepLines w:val="0"/>
        <w:pageBreakBefore w:val="0"/>
        <w:tabs>
          <w:tab w:val="left" w:pos="0"/>
          <w:tab w:val="left" w:pos="280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bCs/>
          <w:color w:val="000000" w:themeColor="text1"/>
          <w:sz w:val="24"/>
          <w:szCs w:val="24"/>
          <w:u w:val="single"/>
          <w14:textFill>
            <w14:solidFill>
              <w14:schemeClr w14:val="tx1"/>
            </w14:solidFill>
          </w14:textFill>
        </w:rPr>
      </w:pPr>
    </w:p>
    <w:p w14:paraId="1AA24E24">
      <w:pPr>
        <w:keepNext w:val="0"/>
        <w:keepLines w:val="0"/>
        <w:pageBreakBefore w:val="0"/>
        <w:tabs>
          <w:tab w:val="left" w:pos="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36D56A3C">
      <w:pPr>
        <w:keepNext w:val="0"/>
        <w:keepLines w:val="0"/>
        <w:pageBreakBefore w:val="0"/>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p>
    <w:p w14:paraId="1273AC13">
      <w:pPr>
        <w:keepNext w:val="0"/>
        <w:keepLines w:val="0"/>
        <w:pageBreakBefore w:val="0"/>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甲方</w:t>
      </w:r>
      <w:r>
        <w:rPr>
          <w:rFonts w:hint="eastAsia" w:ascii="微软雅黑" w:hAnsi="微软雅黑" w:eastAsia="微软雅黑" w:cs="微软雅黑"/>
          <w:color w:val="000000" w:themeColor="text1"/>
          <w:sz w:val="24"/>
          <w:szCs w:val="24"/>
          <w14:textFill>
            <w14:solidFill>
              <w14:schemeClr w14:val="tx1"/>
            </w14:solidFill>
          </w14:textFill>
        </w:rPr>
        <w:t>（盖章）：</w:t>
      </w:r>
    </w:p>
    <w:p w14:paraId="7F4FE1DD">
      <w:pPr>
        <w:keepNext w:val="0"/>
        <w:keepLines w:val="0"/>
        <w:pageBreakBefore w:val="0"/>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217C7A4C">
      <w:pPr>
        <w:keepNext w:val="0"/>
        <w:keepLines w:val="0"/>
        <w:pageBreakBefore w:val="0"/>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6AD539D6">
      <w:pPr>
        <w:keepNext w:val="0"/>
        <w:keepLines w:val="0"/>
        <w:pageBreakBefore w:val="0"/>
        <w:tabs>
          <w:tab w:val="left" w:pos="72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5C3A5A16">
      <w:pPr>
        <w:keepNext w:val="0"/>
        <w:keepLines w:val="0"/>
        <w:pageBreakBefore w:val="0"/>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p>
    <w:p w14:paraId="6AB017B5">
      <w:pPr>
        <w:keepNext w:val="0"/>
        <w:keepLines w:val="0"/>
        <w:pageBreakBefore w:val="0"/>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乙方（盖章）：</w:t>
      </w:r>
    </w:p>
    <w:p w14:paraId="2B3EA547">
      <w:pPr>
        <w:keepNext w:val="0"/>
        <w:keepLines w:val="0"/>
        <w:pageBreakBefore w:val="0"/>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6B101CB3">
      <w:pPr>
        <w:keepNext w:val="0"/>
        <w:keepLines w:val="0"/>
        <w:pageBreakBefore w:val="0"/>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365F47A1">
      <w:pPr>
        <w:keepNext w:val="0"/>
        <w:keepLines w:val="0"/>
        <w:pageBreakBefore w:val="0"/>
        <w:tabs>
          <w:tab w:val="left" w:pos="72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307BD472">
      <w:pPr>
        <w:keepNext w:val="0"/>
        <w:keepLines w:val="0"/>
        <w:pageBreakBefore w:val="0"/>
        <w:tabs>
          <w:tab w:val="left" w:pos="720"/>
        </w:tabs>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08A0A221">
      <w:pPr>
        <w:keepNext w:val="0"/>
        <w:keepLines w:val="0"/>
        <w:pageBreakBefore w:val="0"/>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签订时间：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w:t>
      </w:r>
    </w:p>
    <w:p w14:paraId="2B417C15">
      <w:pPr>
        <w:keepNext w:val="0"/>
        <w:keepLines w:val="0"/>
        <w:pageBreakBefore w:val="0"/>
        <w:kinsoku/>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签订地点：</w:t>
      </w:r>
    </w:p>
    <w:p w14:paraId="114F60CF">
      <w:pPr>
        <w:keepNext w:val="0"/>
        <w:keepLines w:val="0"/>
        <w:pageBreakBefore w:val="0"/>
        <w:kinsoku/>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FADEF">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F95F0E">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8F95F0E">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yOWQwOGU1YThmNmQ5OWFkMDMzMDYwNTI0NWU0NmUifQ=="/>
  </w:docVars>
  <w:rsids>
    <w:rsidRoot w:val="6E467757"/>
    <w:rsid w:val="12733C06"/>
    <w:rsid w:val="2E694152"/>
    <w:rsid w:val="34DD3495"/>
    <w:rsid w:val="6E467757"/>
    <w:rsid w:val="6FE54C3D"/>
    <w:rsid w:val="7BA967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link w:val="9"/>
    <w:semiHidden/>
    <w:unhideWhenUsed/>
    <w:qFormat/>
    <w:uiPriority w:val="0"/>
    <w:pPr>
      <w:keepNext/>
      <w:keepLines/>
      <w:widowControl w:val="0"/>
      <w:suppressLineNumbers w:val="0"/>
      <w:spacing w:before="260" w:beforeAutospacing="0" w:after="260" w:afterAutospacing="0" w:line="415" w:lineRule="auto"/>
      <w:ind w:left="0" w:right="0"/>
      <w:jc w:val="both"/>
      <w:outlineLvl w:val="2"/>
    </w:pPr>
    <w:rPr>
      <w:rFonts w:hint="eastAsia" w:ascii="等线" w:hAnsi="等线" w:eastAsia="等线" w:cs="等线"/>
      <w:b/>
      <w:bCs/>
      <w:kern w:val="2"/>
      <w:sz w:val="32"/>
      <w:szCs w:val="32"/>
      <w:lang w:val="en-US" w:eastAsia="zh-CN" w:bidi="ar"/>
    </w:rPr>
  </w:style>
  <w:style w:type="character" w:default="1" w:styleId="8">
    <w:name w:val="Default Paragraph Font"/>
    <w:semiHidden/>
    <w:qFormat/>
    <w:uiPriority w:val="0"/>
  </w:style>
  <w:style w:type="table" w:default="1" w:styleId="6">
    <w:name w:val="Normal Table"/>
    <w:semiHidden/>
    <w:uiPriority w:val="0"/>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CellMar>
        <w:top w:w="0" w:type="dxa"/>
        <w:left w:w="108" w:type="dxa"/>
        <w:bottom w:w="0" w:type="dxa"/>
        <w:right w:w="108" w:type="dxa"/>
      </w:tblCellMar>
    </w:tblPr>
  </w:style>
  <w:style w:type="paragraph" w:styleId="3">
    <w:name w:val="footer"/>
    <w:basedOn w:val="1"/>
    <w:link w:val="11"/>
    <w:uiPriority w:val="0"/>
    <w:pPr>
      <w:tabs>
        <w:tab w:val="center" w:pos="4153"/>
        <w:tab w:val="right" w:pos="8306"/>
      </w:tabs>
      <w:snapToGrid w:val="0"/>
      <w:jc w:val="left"/>
    </w:pPr>
    <w:rPr>
      <w:sz w:val="18"/>
    </w:rPr>
  </w:style>
  <w:style w:type="paragraph" w:styleId="4">
    <w:name w:val="header"/>
    <w:basedOn w:val="1"/>
    <w:link w:val="10"/>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widowControl/>
      <w:spacing w:before="100" w:beforeAutospacing="1" w:after="100" w:afterAutospacing="1" w:line="336" w:lineRule="auto"/>
      <w:jc w:val="left"/>
    </w:pPr>
    <w:rPr>
      <w:rFonts w:ascii="宋体" w:hAnsi="宋体" w:cs="宋体"/>
      <w:kern w:val="0"/>
      <w:sz w:val="24"/>
      <w:szCs w:val="24"/>
    </w:rPr>
  </w:style>
  <w:style w:type="table" w:styleId="7">
    <w:name w:val="Table Grid"/>
    <w:basedOn w:val="6"/>
    <w:qFormat/>
    <w:uiPriority w:val="0"/>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
    <w:name w:val="标题 3 字符"/>
    <w:basedOn w:val="8"/>
    <w:link w:val="2"/>
    <w:qFormat/>
    <w:uiPriority w:val="0"/>
    <w:rPr>
      <w:b/>
      <w:bCs/>
      <w:sz w:val="32"/>
      <w:szCs w:val="32"/>
    </w:rPr>
  </w:style>
  <w:style w:type="character" w:customStyle="1" w:styleId="10">
    <w:name w:val="页眉 字符"/>
    <w:basedOn w:val="8"/>
    <w:link w:val="4"/>
    <w:qFormat/>
    <w:uiPriority w:val="0"/>
    <w:rPr>
      <w:sz w:val="18"/>
      <w:szCs w:val="18"/>
    </w:rPr>
  </w:style>
  <w:style w:type="character" w:customStyle="1" w:styleId="11">
    <w:name w:val="页脚 字符"/>
    <w:basedOn w:val="8"/>
    <w:link w:val="3"/>
    <w:qFormat/>
    <w:uiPriority w:val="0"/>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3421</Words>
  <Characters>3435</Characters>
  <Lines>0</Lines>
  <Paragraphs>0</Paragraphs>
  <TotalTime>7</TotalTime>
  <ScaleCrop>false</ScaleCrop>
  <LinksUpToDate>false</LinksUpToDate>
  <CharactersWithSpaces>4022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2023-07-06T11:39:00Z</dcterms:created>
  <dc:creator>差不多先生</dc:creator>
  <cp:lastModifiedBy>豪</cp:lastModifiedBy>
  <dcterms:modified xsi:type="dcterms:W3CDTF">2026-03-22T07:19:05Z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350FA1B6DC8E4C2C9AC9897B64FE5087_11</vt:lpwstr>
  </property>
  <property fmtid="{D5CDD505-2E9C-101B-9397-08002B2CF9AE}" pid="4" name="KSOTemplateDocerSaveRecord">
    <vt:lpwstr>eyJoZGlkIjoiNTg0MzMyNGJiMDEzODc5ODNlMGVjODViOWRkZjg1MDgiLCJ1c2VySWQiOiIxMjc2Mzc3NjgxIn0=</vt:lpwstr>
  </property>
</Properties>
</file>