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C0436">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保健食品加盟购销协议</w:t>
      </w:r>
    </w:p>
    <w:bookmarkEnd w:id="0"/>
    <w:p w14:paraId="59F64882">
      <w:pPr>
        <w:wordWrap w:val="0"/>
        <w:spacing w:line="360" w:lineRule="auto"/>
        <w:ind w:firstLine="480" w:firstLineChars="200"/>
        <w:rPr>
          <w:rFonts w:hint="eastAsia" w:ascii="微软雅黑" w:hAnsi="微软雅黑" w:eastAsia="微软雅黑" w:cs="微软雅黑"/>
          <w:b/>
          <w:color w:val="000000" w:themeColor="text1"/>
          <w:sz w:val="24"/>
          <w:szCs w:val="24"/>
          <w:u w:val="single"/>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甲方：</w:t>
      </w:r>
      <w:r>
        <w:rPr>
          <w:rFonts w:hint="eastAsia" w:ascii="微软雅黑" w:hAnsi="微软雅黑" w:eastAsia="微软雅黑" w:cs="微软雅黑"/>
          <w:b/>
          <w:color w:val="000000" w:themeColor="text1"/>
          <w:sz w:val="24"/>
          <w:szCs w:val="24"/>
          <w:u w:val="single"/>
          <w14:textFill>
            <w14:solidFill>
              <w14:schemeClr w14:val="tx1"/>
            </w14:solidFill>
          </w14:textFill>
        </w:rPr>
        <w:t xml:space="preserve">                        </w:t>
      </w:r>
    </w:p>
    <w:p w14:paraId="23C77B90">
      <w:pPr>
        <w:wordWrap w:val="0"/>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乙方：</w:t>
      </w:r>
      <w:r>
        <w:rPr>
          <w:rFonts w:hint="eastAsia" w:ascii="微软雅黑" w:hAnsi="微软雅黑" w:eastAsia="微软雅黑" w:cs="微软雅黑"/>
          <w:b/>
          <w:color w:val="000000" w:themeColor="text1"/>
          <w:sz w:val="24"/>
          <w:szCs w:val="24"/>
          <w:u w:val="single"/>
          <w14:textFill>
            <w14:solidFill>
              <w14:schemeClr w14:val="tx1"/>
            </w14:solidFill>
          </w14:textFill>
        </w:rPr>
        <w:t></w:t>
      </w:r>
    </w:p>
    <w:p w14:paraId="0C046AC4">
      <w:pPr>
        <w:wordWrap w:val="0"/>
        <w:spacing w:before="312" w:beforeLines="100" w:after="312" w:after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经商定，</w:t>
      </w:r>
      <w:r>
        <w:rPr>
          <w:rFonts w:hint="eastAsia" w:ascii="微软雅黑" w:hAnsi="微软雅黑" w:eastAsia="微软雅黑" w:cs="微软雅黑"/>
          <w:color w:val="000000" w:themeColor="text1"/>
          <w:sz w:val="24"/>
          <w:szCs w:val="24"/>
          <w14:textFill>
            <w14:solidFill>
              <w14:schemeClr w14:val="tx1"/>
            </w14:solidFill>
          </w14:textFill>
        </w:rPr>
        <w:t>双方就保健食品、健康食品加盟购销事宜签订如下协议：</w:t>
      </w:r>
    </w:p>
    <w:p w14:paraId="1C23094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一、甲方所列保健食品、健康食品通过集中加盟购销以后，保证为乙方提供公平、公正、公开的竞争机会。甲方坚持健康食品质量第一，确保</w:t>
      </w:r>
      <w:r>
        <w:rPr>
          <w:rFonts w:hint="eastAsia" w:ascii="微软雅黑" w:hAnsi="微软雅黑" w:eastAsia="微软雅黑" w:cs="微软雅黑"/>
          <w:color w:val="000000" w:themeColor="text1"/>
          <w:sz w:val="24"/>
          <w:szCs w:val="24"/>
          <w14:textFill>
            <w14:solidFill>
              <w14:schemeClr w14:val="tx1"/>
            </w14:solidFill>
          </w14:textFill>
        </w:rPr>
        <w:t>在</w:t>
      </w:r>
      <w:r>
        <w:rPr>
          <w:rFonts w:hint="eastAsia" w:ascii="微软雅黑" w:hAnsi="微软雅黑" w:eastAsia="微软雅黑" w:cs="微软雅黑"/>
          <w:color w:val="000000" w:themeColor="text1"/>
          <w:sz w:val="24"/>
          <w:szCs w:val="24"/>
          <w14:textFill>
            <w14:solidFill>
              <w14:schemeClr w14:val="tx1"/>
            </w14:solidFill>
          </w14:textFill>
        </w:rPr>
        <w:t>满足亚健康人群需要</w:t>
      </w:r>
      <w:r>
        <w:rPr>
          <w:rFonts w:hint="eastAsia" w:ascii="微软雅黑" w:hAnsi="微软雅黑" w:eastAsia="微软雅黑" w:cs="微软雅黑"/>
          <w:color w:val="000000" w:themeColor="text1"/>
          <w:sz w:val="24"/>
          <w:szCs w:val="24"/>
          <w14:textFill>
            <w14:solidFill>
              <w14:schemeClr w14:val="tx1"/>
            </w14:solidFill>
          </w14:textFill>
        </w:rPr>
        <w:t>的</w:t>
      </w:r>
      <w:r>
        <w:rPr>
          <w:rFonts w:hint="eastAsia" w:ascii="微软雅黑" w:hAnsi="微软雅黑" w:eastAsia="微软雅黑" w:cs="微软雅黑"/>
          <w:color w:val="000000" w:themeColor="text1"/>
          <w:sz w:val="24"/>
          <w:szCs w:val="24"/>
          <w14:textFill>
            <w14:solidFill>
              <w14:schemeClr w14:val="tx1"/>
            </w14:solidFill>
          </w14:textFill>
        </w:rPr>
        <w:t>前提下，遵循</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优质优价优先、同质优价优先、同质同价本地优先</w:t>
      </w:r>
      <w:r>
        <w:rPr>
          <w:rFonts w:hint="eastAsia" w:ascii="微软雅黑" w:hAnsi="微软雅黑" w:eastAsia="微软雅黑" w:cs="微软雅黑"/>
          <w:color w:val="000000" w:themeColor="text1"/>
          <w:sz w:val="24"/>
          <w:szCs w:val="24"/>
          <w14:textFill>
            <w14:solidFill>
              <w14:schemeClr w14:val="tx1"/>
            </w14:solidFill>
          </w14:textFill>
        </w:rPr>
        <w:t>”的原则，</w:t>
      </w:r>
      <w:r>
        <w:rPr>
          <w:rFonts w:hint="eastAsia" w:ascii="微软雅黑" w:hAnsi="微软雅黑" w:eastAsia="微软雅黑" w:cs="微软雅黑"/>
          <w:color w:val="000000" w:themeColor="text1"/>
          <w:sz w:val="24"/>
          <w:szCs w:val="24"/>
          <w14:textFill>
            <w14:solidFill>
              <w14:schemeClr w14:val="tx1"/>
            </w14:solidFill>
          </w14:textFill>
        </w:rPr>
        <w:t>并综合其他因素确定加盟产品。</w:t>
      </w:r>
    </w:p>
    <w:p w14:paraId="6BCE88C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二、乙方按有关法规规定，如实提供完整的相关合法资料给甲方，并对提供资料的真实性、合法性负责。</w:t>
      </w:r>
    </w:p>
    <w:p w14:paraId="0942E6B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三、乙方保证在加盟过程中，遵守有关法律、法规</w:t>
      </w:r>
      <w:r>
        <w:rPr>
          <w:rFonts w:hint="eastAsia" w:ascii="微软雅黑" w:hAnsi="微软雅黑" w:eastAsia="微软雅黑" w:cs="微软雅黑"/>
          <w:color w:val="000000" w:themeColor="text1"/>
          <w:sz w:val="24"/>
          <w:szCs w:val="24"/>
          <w14:textFill>
            <w14:solidFill>
              <w14:schemeClr w14:val="tx1"/>
            </w14:solidFill>
          </w14:textFill>
        </w:rPr>
        <w:t>的规定</w:t>
      </w:r>
      <w:r>
        <w:rPr>
          <w:rFonts w:hint="eastAsia" w:ascii="微软雅黑" w:hAnsi="微软雅黑" w:eastAsia="微软雅黑" w:cs="微软雅黑"/>
          <w:color w:val="000000" w:themeColor="text1"/>
          <w:sz w:val="24"/>
          <w:szCs w:val="24"/>
          <w14:textFill>
            <w14:solidFill>
              <w14:schemeClr w14:val="tx1"/>
            </w14:solidFill>
          </w14:textFill>
        </w:rPr>
        <w:t>，不进行非法竞争。</w:t>
      </w:r>
    </w:p>
    <w:p w14:paraId="44CBD13E">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四、乙方必须按甲方加盟品种表所列项目填写，保证加盟表内容合法、真实。对加盟品种虚报零售价的、提供</w:t>
      </w:r>
      <w:r>
        <w:rPr>
          <w:rFonts w:hint="eastAsia" w:ascii="微软雅黑" w:hAnsi="微软雅黑" w:eastAsia="微软雅黑" w:cs="微软雅黑"/>
          <w:color w:val="000000" w:themeColor="text1"/>
          <w:sz w:val="24"/>
          <w:szCs w:val="24"/>
          <w14:textFill>
            <w14:solidFill>
              <w14:schemeClr w14:val="tx1"/>
            </w14:solidFill>
          </w14:textFill>
        </w:rPr>
        <w:t>虚假</w:t>
      </w:r>
      <w:r>
        <w:rPr>
          <w:rFonts w:hint="eastAsia" w:ascii="微软雅黑" w:hAnsi="微软雅黑" w:eastAsia="微软雅黑" w:cs="微软雅黑"/>
          <w:color w:val="000000" w:themeColor="text1"/>
          <w:sz w:val="24"/>
          <w:szCs w:val="24"/>
          <w14:textFill>
            <w14:solidFill>
              <w14:schemeClr w14:val="tx1"/>
            </w14:solidFill>
          </w14:textFill>
        </w:rPr>
        <w:t>证明材料的、非法竞争的、不按合同如实供货等情况，取消其在中华亚健康俱乐部连锁经营单位参与产品加盟资格。</w:t>
      </w:r>
    </w:p>
    <w:p w14:paraId="5DA88C76">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五、乙方对加盟所供健康食品的质量承担全部法律责任。甲方连锁经营成员单位在使用加盟单位提供的健康食品</w:t>
      </w:r>
      <w:r>
        <w:rPr>
          <w:rFonts w:hint="eastAsia" w:ascii="微软雅黑" w:hAnsi="微软雅黑" w:eastAsia="微软雅黑" w:cs="微软雅黑"/>
          <w:color w:val="000000" w:themeColor="text1"/>
          <w:sz w:val="24"/>
          <w:szCs w:val="24"/>
          <w14:textFill>
            <w14:solidFill>
              <w14:schemeClr w14:val="tx1"/>
            </w14:solidFill>
          </w14:textFill>
        </w:rPr>
        <w:t>的过程中</w:t>
      </w:r>
      <w:r>
        <w:rPr>
          <w:rFonts w:hint="eastAsia" w:ascii="微软雅黑" w:hAnsi="微软雅黑" w:eastAsia="微软雅黑" w:cs="微软雅黑"/>
          <w:color w:val="000000" w:themeColor="text1"/>
          <w:sz w:val="24"/>
          <w:szCs w:val="24"/>
          <w14:textFill>
            <w14:solidFill>
              <w14:schemeClr w14:val="tx1"/>
            </w14:solidFill>
          </w14:textFill>
        </w:rPr>
        <w:t>，如</w:t>
      </w:r>
      <w:r>
        <w:rPr>
          <w:rFonts w:hint="eastAsia" w:ascii="微软雅黑" w:hAnsi="微软雅黑" w:eastAsia="微软雅黑" w:cs="微软雅黑"/>
          <w:color w:val="000000" w:themeColor="text1"/>
          <w:sz w:val="24"/>
          <w:szCs w:val="24"/>
          <w14:textFill>
            <w14:solidFill>
              <w14:schemeClr w14:val="tx1"/>
            </w14:solidFill>
          </w14:textFill>
        </w:rPr>
        <w:t>因</w:t>
      </w:r>
      <w:r>
        <w:rPr>
          <w:rFonts w:hint="eastAsia" w:ascii="微软雅黑" w:hAnsi="微软雅黑" w:eastAsia="微软雅黑" w:cs="微软雅黑"/>
          <w:color w:val="000000" w:themeColor="text1"/>
          <w:sz w:val="24"/>
          <w:szCs w:val="24"/>
          <w14:textFill>
            <w14:solidFill>
              <w14:schemeClr w14:val="tx1"/>
            </w14:solidFill>
          </w14:textFill>
        </w:rPr>
        <w:t>质量本身问题造成的一切损失（包括甲方服务的消费客户的损失），由乙方全部承担，乙方接到甲方成员单位通知</w:t>
      </w:r>
      <w:r>
        <w:rPr>
          <w:rFonts w:hint="eastAsia" w:ascii="微软雅黑" w:hAnsi="微软雅黑" w:eastAsia="微软雅黑" w:cs="微软雅黑"/>
          <w:color w:val="000000" w:themeColor="text1"/>
          <w:sz w:val="24"/>
          <w:szCs w:val="24"/>
          <w14:textFill>
            <w14:solidFill>
              <w14:schemeClr w14:val="tx1"/>
            </w14:solidFill>
          </w14:textFill>
        </w:rPr>
        <w:t>后</w:t>
      </w:r>
      <w:r>
        <w:rPr>
          <w:rFonts w:hint="eastAsia" w:ascii="微软雅黑" w:hAnsi="微软雅黑" w:eastAsia="微软雅黑" w:cs="微软雅黑"/>
          <w:color w:val="000000" w:themeColor="text1"/>
          <w:sz w:val="24"/>
          <w:szCs w:val="24"/>
          <w14:textFill>
            <w14:solidFill>
              <w14:schemeClr w14:val="tx1"/>
            </w14:solidFill>
          </w14:textFill>
        </w:rPr>
        <w:t>应及时赴甲方</w:t>
      </w:r>
      <w:r>
        <w:rPr>
          <w:rFonts w:hint="eastAsia" w:ascii="微软雅黑" w:hAnsi="微软雅黑" w:eastAsia="微软雅黑" w:cs="微软雅黑"/>
          <w:color w:val="000000" w:themeColor="text1"/>
          <w:sz w:val="24"/>
          <w:szCs w:val="24"/>
          <w14:textFill>
            <w14:solidFill>
              <w14:schemeClr w14:val="tx1"/>
            </w14:solidFill>
          </w14:textFill>
        </w:rPr>
        <w:t>所在地</w:t>
      </w:r>
      <w:r>
        <w:rPr>
          <w:rFonts w:hint="eastAsia" w:ascii="微软雅黑" w:hAnsi="微软雅黑" w:eastAsia="微软雅黑" w:cs="微软雅黑"/>
          <w:color w:val="000000" w:themeColor="text1"/>
          <w:sz w:val="24"/>
          <w:szCs w:val="24"/>
          <w14:textFill>
            <w14:solidFill>
              <w14:schemeClr w14:val="tx1"/>
            </w14:solidFill>
          </w14:textFill>
        </w:rPr>
        <w:t>处理。</w:t>
      </w:r>
    </w:p>
    <w:p w14:paraId="1202A39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六、乙方加盟产品必须按加盟的生产厂家、规格供货，不得擅自改变生产厂家与规格，否则按撤出加盟处理。所加盟的健康食品必须同时提供该批号的质检报告、进口产品检验报告书、注册证等（均盖有相关单位红章）。</w:t>
      </w:r>
    </w:p>
    <w:p w14:paraId="5CDDC76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七、乙方加盟产品接到甲方单位要货通知后，本地区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天内，省内</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天内，省外</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天内送货到甲方配货中心。运输费用由乙方承担，甲方单位必须做好计划采购，确保乙方加盟单位产品生产合理安排。</w:t>
      </w:r>
    </w:p>
    <w:p w14:paraId="40FB36A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八、甲方产品配送中心在产品验收入库时或在使用过程中发现乙方供应产品质量问题提出退货的，乙方必须予以接受，并及时将合格产品送至甲方调换，不得影响甲方成员单位产品正常供给。</w:t>
      </w:r>
    </w:p>
    <w:p w14:paraId="477C967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九、甲方成员单位在产品验收入库或使用期间，非甲方原因造成的破损、短少，乙方应按实、及时调换、补足。</w:t>
      </w:r>
    </w:p>
    <w:p w14:paraId="7F9D16C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十、乙方提供的所有产品有效期在六个月内的，送货时必须告知甲方产品配送中心，双方</w:t>
      </w:r>
      <w:r>
        <w:rPr>
          <w:rFonts w:hint="eastAsia" w:ascii="微软雅黑" w:hAnsi="微软雅黑" w:eastAsia="微软雅黑" w:cs="微软雅黑"/>
          <w:color w:val="000000" w:themeColor="text1"/>
          <w:sz w:val="24"/>
          <w:szCs w:val="24"/>
          <w14:textFill>
            <w14:solidFill>
              <w14:schemeClr w14:val="tx1"/>
            </w14:solidFill>
          </w14:textFill>
        </w:rPr>
        <w:t>在</w:t>
      </w:r>
      <w:r>
        <w:rPr>
          <w:rFonts w:hint="eastAsia" w:ascii="微软雅黑" w:hAnsi="微软雅黑" w:eastAsia="微软雅黑" w:cs="微软雅黑"/>
          <w:color w:val="000000" w:themeColor="text1"/>
          <w:sz w:val="24"/>
          <w:szCs w:val="24"/>
          <w14:textFill>
            <w14:solidFill>
              <w14:schemeClr w14:val="tx1"/>
            </w14:solidFill>
          </w14:textFill>
        </w:rPr>
        <w:t>协商</w:t>
      </w:r>
      <w:r>
        <w:rPr>
          <w:rFonts w:hint="eastAsia" w:ascii="微软雅黑" w:hAnsi="微软雅黑" w:eastAsia="微软雅黑" w:cs="微软雅黑"/>
          <w:color w:val="000000" w:themeColor="text1"/>
          <w:sz w:val="24"/>
          <w:szCs w:val="24"/>
          <w14:textFill>
            <w14:solidFill>
              <w14:schemeClr w14:val="tx1"/>
            </w14:solidFill>
          </w14:textFill>
        </w:rPr>
        <w:t>好</w:t>
      </w:r>
      <w:r>
        <w:rPr>
          <w:rFonts w:hint="eastAsia" w:ascii="微软雅黑" w:hAnsi="微软雅黑" w:eastAsia="微软雅黑" w:cs="微软雅黑"/>
          <w:color w:val="000000" w:themeColor="text1"/>
          <w:sz w:val="24"/>
          <w:szCs w:val="24"/>
          <w14:textFill>
            <w14:solidFill>
              <w14:schemeClr w14:val="tx1"/>
            </w14:solidFill>
          </w14:textFill>
        </w:rPr>
        <w:t>产品退货办法后，甲方才可入库。对</w:t>
      </w:r>
      <w:r>
        <w:rPr>
          <w:rFonts w:hint="eastAsia" w:ascii="微软雅黑" w:hAnsi="微软雅黑" w:eastAsia="微软雅黑" w:cs="微软雅黑"/>
          <w:color w:val="000000" w:themeColor="text1"/>
          <w:sz w:val="24"/>
          <w:szCs w:val="24"/>
          <w14:textFill>
            <w14:solidFill>
              <w14:schemeClr w14:val="tx1"/>
            </w14:solidFill>
          </w14:textFill>
        </w:rPr>
        <w:t>已</w:t>
      </w:r>
      <w:r>
        <w:rPr>
          <w:rFonts w:hint="eastAsia" w:ascii="微软雅黑" w:hAnsi="微软雅黑" w:eastAsia="微软雅黑" w:cs="微软雅黑"/>
          <w:color w:val="000000" w:themeColor="text1"/>
          <w:sz w:val="24"/>
          <w:szCs w:val="24"/>
          <w14:textFill>
            <w14:solidFill>
              <w14:schemeClr w14:val="tx1"/>
            </w14:solidFill>
          </w14:textFill>
        </w:rPr>
        <w:t>入库产品，甲方如要求退货</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应在有效期三个月前向乙方提出，乙方应予接受。乙方提供的所有产品按照保健食品管理</w:t>
      </w:r>
      <w:r>
        <w:rPr>
          <w:rFonts w:hint="eastAsia" w:ascii="微软雅黑" w:hAnsi="微软雅黑" w:eastAsia="微软雅黑" w:cs="微软雅黑"/>
          <w:color w:val="000000" w:themeColor="text1"/>
          <w:sz w:val="24"/>
          <w:szCs w:val="24"/>
          <w14:textFill>
            <w14:solidFill>
              <w14:schemeClr w14:val="tx1"/>
            </w14:solidFill>
          </w14:textFill>
        </w:rPr>
        <w:t>法规</w:t>
      </w:r>
      <w:r>
        <w:rPr>
          <w:rFonts w:hint="eastAsia" w:ascii="微软雅黑" w:hAnsi="微软雅黑" w:eastAsia="微软雅黑" w:cs="微软雅黑"/>
          <w:color w:val="000000" w:themeColor="text1"/>
          <w:sz w:val="24"/>
          <w:szCs w:val="24"/>
          <w14:textFill>
            <w14:solidFill>
              <w14:schemeClr w14:val="tx1"/>
            </w14:solidFill>
          </w14:textFill>
        </w:rPr>
        <w:t>及产品市场销售相关规定，必须标明有效期限，否则甲方不予接受。</w:t>
      </w:r>
    </w:p>
    <w:p w14:paraId="290DDA3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十一、乙方产品在甲方成员单位存货在二个月以上或余量较大及合同到期尚存余量的，甲方提出退货，乙方应予接受。</w:t>
      </w:r>
    </w:p>
    <w:p w14:paraId="2828A68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十二、甲、乙双方应严格遵守产品购销活动的有关法律和法规，甲方人员不得向乙方索要回扣或有意刁难乙方，甲方或甲方人员违纪、违规、违约的，乙方应向甲方</w:t>
      </w:r>
      <w:r>
        <w:rPr>
          <w:rFonts w:hint="eastAsia" w:ascii="微软雅黑" w:hAnsi="微软雅黑" w:eastAsia="微软雅黑" w:cs="微软雅黑"/>
          <w:color w:val="000000" w:themeColor="text1"/>
          <w:sz w:val="24"/>
          <w:szCs w:val="24"/>
          <w14:textFill>
            <w14:solidFill>
              <w14:schemeClr w14:val="tx1"/>
            </w14:solidFill>
          </w14:textFill>
        </w:rPr>
        <w:t>所在地的</w:t>
      </w:r>
      <w:r>
        <w:rPr>
          <w:rFonts w:hint="eastAsia" w:ascii="微软雅黑" w:hAnsi="微软雅黑" w:eastAsia="微软雅黑" w:cs="微软雅黑"/>
          <w:color w:val="000000" w:themeColor="text1"/>
          <w:sz w:val="24"/>
          <w:szCs w:val="24"/>
          <w14:textFill>
            <w14:solidFill>
              <w14:schemeClr w14:val="tx1"/>
            </w14:solidFill>
          </w14:textFill>
        </w:rPr>
        <w:t>质监部门举报。</w:t>
      </w:r>
    </w:p>
    <w:p w14:paraId="64E37E16">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十三、甲方成员单位收到加盟品种后，不得突击进库，但甲方成员单位的老库存必须用完，乙方应予理解，或双方协商解决。</w:t>
      </w:r>
    </w:p>
    <w:p w14:paraId="1BB1E49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十四、付款方式：加盟产品的货款，使用单位（甲方）实行实销月结，乙方要求提前付款的，经双方协商解决。</w:t>
      </w:r>
    </w:p>
    <w:p w14:paraId="23DFD85E">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十六、双方未按照合同约定履行各自职责造成的违约责任由双方过错程度承担，具体：</w:t>
      </w:r>
    </w:p>
    <w:p w14:paraId="5ED2E81E">
      <w:pPr>
        <w:wordWrap w:val="0"/>
        <w:spacing w:line="360" w:lineRule="auto"/>
        <w:ind w:firstLine="480" w:firstLineChars="200"/>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甲方违约责任：</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6A7F87BA">
      <w:pPr>
        <w:wordWrap w:val="0"/>
        <w:spacing w:line="360" w:lineRule="auto"/>
        <w:ind w:firstLine="480" w:firstLineChars="200"/>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乙方违约责任：</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3CCCBD4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十</w:t>
      </w:r>
      <w:r>
        <w:rPr>
          <w:rFonts w:hint="eastAsia" w:ascii="微软雅黑" w:hAnsi="微软雅黑" w:eastAsia="微软雅黑" w:cs="微软雅黑"/>
          <w:color w:val="000000" w:themeColor="text1"/>
          <w:sz w:val="24"/>
          <w:szCs w:val="24"/>
          <w14:textFill>
            <w14:solidFill>
              <w14:schemeClr w14:val="tx1"/>
            </w14:solidFill>
          </w14:textFill>
        </w:rPr>
        <w:t>五</w:t>
      </w:r>
      <w:r>
        <w:rPr>
          <w:rFonts w:hint="eastAsia" w:ascii="微软雅黑" w:hAnsi="微软雅黑" w:eastAsia="微软雅黑" w:cs="微软雅黑"/>
          <w:color w:val="000000" w:themeColor="text1"/>
          <w:sz w:val="24"/>
          <w:szCs w:val="24"/>
          <w14:textFill>
            <w14:solidFill>
              <w14:schemeClr w14:val="tx1"/>
            </w14:solidFill>
          </w14:textFill>
        </w:rPr>
        <w:t>、如遇特殊情况（政府政策性产品价格发生重大变化时），双方另行协商解决</w:t>
      </w:r>
      <w:r>
        <w:rPr>
          <w:rFonts w:hint="eastAsia" w:ascii="微软雅黑" w:hAnsi="微软雅黑" w:eastAsia="微软雅黑" w:cs="微软雅黑"/>
          <w:color w:val="000000" w:themeColor="text1"/>
          <w:sz w:val="24"/>
          <w:szCs w:val="24"/>
          <w14:textFill>
            <w14:solidFill>
              <w14:schemeClr w14:val="tx1"/>
            </w14:solidFill>
          </w14:textFill>
        </w:rPr>
        <w:t>。</w:t>
      </w:r>
    </w:p>
    <w:p w14:paraId="13D2532F">
      <w:pPr>
        <w:wordWrap w:val="0"/>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十六、</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凡因本合同引起的或与本合同有关的任何争议，均提交蚌埠仲裁委员会，按照该会的仲裁规则进行仲裁。仲裁裁决是终局的，对双方均有约束力。</w:t>
      </w:r>
    </w:p>
    <w:p w14:paraId="7C73A70D">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十七、</w:t>
      </w:r>
      <w:r>
        <w:rPr>
          <w:rFonts w:hint="eastAsia" w:ascii="微软雅黑" w:hAnsi="微软雅黑" w:eastAsia="微软雅黑" w:cs="微软雅黑"/>
          <w:sz w:val="24"/>
          <w:szCs w:val="24"/>
        </w:rPr>
        <w:t>送达地址以及送达条款</w:t>
      </w:r>
    </w:p>
    <w:p w14:paraId="4CD3367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（一）</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送达地址以及方式</w:t>
      </w:r>
    </w:p>
    <w:p w14:paraId="29DB6716">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送达地址</w:t>
      </w:r>
    </w:p>
    <w:p w14:paraId="3879870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甲方确认送达地址如下：</w:t>
      </w:r>
    </w:p>
    <w:p w14:paraId="16E388C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734BB8B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5D39F47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79C1621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33FE8DD2">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甲方电子送达方式如下：</w:t>
      </w:r>
    </w:p>
    <w:p w14:paraId="20E5F3F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341C20B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02A19A2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056D2AD2">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            。</w:t>
      </w:r>
    </w:p>
    <w:p w14:paraId="565B66B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乙方确认送达地址如下：</w:t>
      </w:r>
    </w:p>
    <w:p w14:paraId="08320F2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615BB32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55F8087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3EE002EB">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1CDEACA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乙方电子送达方式如下：</w:t>
      </w:r>
    </w:p>
    <w:p w14:paraId="6C4EFCA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18C8CB5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57C373CB">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6488F7C5">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w:t>
      </w:r>
    </w:p>
    <w:p w14:paraId="585F6540">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送达方式</w:t>
      </w:r>
    </w:p>
    <w:p w14:paraId="4BF361B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双方同意，本合同项下的通知、函件、诉讼文书等文件，以下列方式送达对方：</w:t>
      </w:r>
    </w:p>
    <w:p w14:paraId="6BABC3A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直接送达：将文件送至对方指定的送达地址，视为已送达；</w:t>
      </w:r>
    </w:p>
    <w:p w14:paraId="6BE35DD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邮寄送达：将文件通过挂号信、特快专递等方式寄至对方指定的送达地址，以邮戳日期为准，视为已送达；</w:t>
      </w:r>
    </w:p>
    <w:p w14:paraId="2B9ECE4C">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电子送达：将文件通过电子邮件、短信、微信等方式发送至对方指定的电子邮箱、手机号码等，发送成功即视为已送达。</w:t>
      </w:r>
    </w:p>
    <w:p w14:paraId="6311209E">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（二）</w:t>
      </w:r>
      <w:r>
        <w:rPr>
          <w:rFonts w:hint="eastAsia" w:ascii="微软雅黑" w:hAnsi="微软雅黑" w:eastAsia="微软雅黑" w:cs="微软雅黑"/>
          <w:color w:val="000000" w:themeColor="text1"/>
          <w:sz w:val="24"/>
          <w:szCs w:val="24"/>
          <w:lang w:eastAsia="zh-CN"/>
          <w14:textFill>
            <w14:solidFill>
              <w14:schemeClr w14:val="tx1"/>
            </w14:solidFill>
          </w14:textFill>
        </w:rPr>
        <w:t>送达条款</w:t>
      </w:r>
    </w:p>
    <w:p w14:paraId="0A991EE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本送达条款适用于合同履行履行期间及合同纠纷解决过程中的所有文件送达。</w:t>
      </w:r>
    </w:p>
    <w:p w14:paraId="71DDCE76">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法院、仲裁委员会、合同项下任何一方等主体有权依据本合</w:t>
      </w:r>
      <w:r>
        <w:rPr>
          <w:rFonts w:hint="eastAsia" w:ascii="微软雅黑" w:hAnsi="微软雅黑" w:eastAsia="微软雅黑" w:cs="微软雅黑"/>
          <w:color w:val="000000" w:themeColor="text1"/>
          <w:sz w:val="24"/>
          <w:szCs w:val="24"/>
          <w:lang w:eastAsia="zh-CN"/>
          <w14:textFill>
            <w14:solidFill>
              <w14:schemeClr w14:val="tx1"/>
            </w14:solidFill>
          </w14:textFill>
        </w:rPr>
        <w:t>同</w:t>
      </w:r>
      <w:r>
        <w:rPr>
          <w:rFonts w:hint="eastAsia" w:ascii="微软雅黑" w:hAnsi="微软雅黑" w:eastAsia="微软雅黑" w:cs="微软雅黑"/>
          <w:color w:val="000000" w:themeColor="text1"/>
          <w:sz w:val="24"/>
          <w:szCs w:val="24"/>
          <w14:textFill>
            <w14:solidFill>
              <w14:schemeClr w14:val="tx1"/>
            </w14:solidFill>
          </w14:textFill>
        </w:rPr>
        <w:t>约定地址向另一方发出的通知、信件、数据电文等内容，如因包括不限于搬迁、注销、更换地址等接收方原因造成无法送达的，不利后果由接收方自行承担。</w:t>
      </w:r>
    </w:p>
    <w:p w14:paraId="51A85C9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双方在合同履行过程中由双方共同明示或默示确认的合同约定外的送达地址和联系方式不影响送达效力。</w:t>
      </w:r>
    </w:p>
    <w:p w14:paraId="25E8B35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489FEA72">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themeColor="text1"/>
          <w:sz w:val="24"/>
          <w:szCs w:val="24"/>
          <w:lang w:eastAsia="zh-CN"/>
          <w14:textFill>
            <w14:solidFill>
              <w14:schemeClr w14:val="tx1"/>
            </w14:solidFill>
          </w14:textFill>
        </w:rPr>
        <w:t>及时</w:t>
      </w:r>
      <w:r>
        <w:rPr>
          <w:rFonts w:hint="eastAsia" w:ascii="微软雅黑" w:hAnsi="微软雅黑" w:eastAsia="微软雅黑" w:cs="微软雅黑"/>
          <w:color w:val="000000" w:themeColor="text1"/>
          <w:sz w:val="24"/>
          <w:szCs w:val="24"/>
          <w14:textFill>
            <w14:solidFill>
              <w14:schemeClr w14:val="tx1"/>
            </w14:solidFill>
          </w14:textFill>
        </w:rPr>
        <w:t>通知的，发送方按照原约定方式送达，视为送达成功。</w:t>
      </w:r>
    </w:p>
    <w:p w14:paraId="78775E5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26F12AC6">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1.擅自变更送达地址及信息且未及时通知对方的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7C818B9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2.送达地址与信息同工商登记信息不一致且未及时更改的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2002B6CB">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3.故意不接收</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仲裁委员会送达文书的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7C1F8196">
      <w:pPr>
        <w:wordWrap w:val="0"/>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4.因接收方过错造成无法正常送达的其他行为</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6B5DC0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十</w:t>
      </w:r>
      <w:r>
        <w:rPr>
          <w:rFonts w:hint="eastAsia" w:ascii="微软雅黑" w:hAnsi="微软雅黑" w:eastAsia="微软雅黑" w:cs="微软雅黑"/>
          <w:color w:val="000000" w:themeColor="text1"/>
          <w:sz w:val="24"/>
          <w:szCs w:val="24"/>
          <w:lang w:eastAsia="zh-CN"/>
          <w14:textFill>
            <w14:solidFill>
              <w14:schemeClr w14:val="tx1"/>
            </w14:solidFill>
          </w14:textFill>
        </w:rPr>
        <w:t>八</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本协议</w:t>
      </w:r>
      <w:r>
        <w:rPr>
          <w:rFonts w:hint="eastAsia" w:ascii="微软雅黑" w:hAnsi="微软雅黑" w:eastAsia="微软雅黑" w:cs="微软雅黑"/>
          <w:color w:val="000000" w:themeColor="text1"/>
          <w:sz w:val="24"/>
          <w:szCs w:val="24"/>
          <w14:textFill>
            <w14:solidFill>
              <w14:schemeClr w14:val="tx1"/>
            </w14:solidFill>
          </w14:textFill>
        </w:rPr>
        <w:t>壹式贰</w:t>
      </w:r>
      <w:r>
        <w:rPr>
          <w:rFonts w:hint="eastAsia" w:ascii="微软雅黑" w:hAnsi="微软雅黑" w:eastAsia="微软雅黑" w:cs="微软雅黑"/>
          <w:color w:val="000000" w:themeColor="text1"/>
          <w:sz w:val="24"/>
          <w:szCs w:val="24"/>
          <w14:textFill>
            <w14:solidFill>
              <w14:schemeClr w14:val="tx1"/>
            </w14:solidFill>
          </w14:textFill>
        </w:rPr>
        <w:t>份，甲乙双方各执</w:t>
      </w:r>
      <w:r>
        <w:rPr>
          <w:rFonts w:hint="eastAsia" w:ascii="微软雅黑" w:hAnsi="微软雅黑" w:eastAsia="微软雅黑" w:cs="微软雅黑"/>
          <w:color w:val="000000" w:themeColor="text1"/>
          <w:sz w:val="24"/>
          <w:szCs w:val="24"/>
          <w14:textFill>
            <w14:solidFill>
              <w14:schemeClr w14:val="tx1"/>
            </w14:solidFill>
          </w14:textFill>
        </w:rPr>
        <w:t>壹</w:t>
      </w:r>
      <w:r>
        <w:rPr>
          <w:rFonts w:hint="eastAsia" w:ascii="微软雅黑" w:hAnsi="微软雅黑" w:eastAsia="微软雅黑" w:cs="微软雅黑"/>
          <w:color w:val="000000" w:themeColor="text1"/>
          <w:sz w:val="24"/>
          <w:szCs w:val="24"/>
          <w14:textFill>
            <w14:solidFill>
              <w14:schemeClr w14:val="tx1"/>
            </w14:solidFill>
          </w14:textFill>
        </w:rPr>
        <w:t>份，自签约之日起半年内有效。</w:t>
      </w:r>
    </w:p>
    <w:p w14:paraId="75F7C6C2">
      <w:pPr>
        <w:rPr>
          <w:rFonts w:hint="eastAsia" w:ascii="微软雅黑" w:hAnsi="微软雅黑" w:eastAsia="微软雅黑" w:cs="微软雅黑"/>
          <w:sz w:val="24"/>
          <w:szCs w:val="24"/>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32A4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47C324AA">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w:t>
            </w:r>
            <w:r>
              <w:rPr>
                <w:rFonts w:hint="eastAsia" w:ascii="微软雅黑" w:hAnsi="微软雅黑" w:eastAsia="微软雅黑" w:cs="微软雅黑"/>
                <w:color w:val="000000" w:themeColor="text1"/>
                <w:kern w:val="0"/>
                <w:sz w:val="24"/>
                <w:szCs w:val="24"/>
                <w14:textFill>
                  <w14:solidFill>
                    <w14:schemeClr w14:val="tx1"/>
                  </w14:solidFill>
                </w14:textFill>
              </w:rPr>
              <w:t>（盖章）</w:t>
            </w:r>
            <w:r>
              <w:rPr>
                <w:rFonts w:hint="eastAsia" w:ascii="微软雅黑" w:hAnsi="微软雅黑" w:eastAsia="微软雅黑" w:cs="微软雅黑"/>
                <w:color w:val="000000" w:themeColor="text1"/>
                <w:kern w:val="0"/>
                <w:sz w:val="24"/>
                <w:szCs w:val="24"/>
                <w14:textFill>
                  <w14:solidFill>
                    <w14:schemeClr w14:val="tx1"/>
                  </w14:solidFill>
                </w14:textFill>
              </w:rPr>
              <w:t>：</w:t>
            </w:r>
          </w:p>
        </w:tc>
        <w:tc>
          <w:tcPr>
            <w:tcW w:w="2500" w:type="pct"/>
          </w:tcPr>
          <w:p w14:paraId="32A95CEF">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w:t>
            </w:r>
            <w:r>
              <w:rPr>
                <w:rFonts w:hint="eastAsia" w:ascii="微软雅黑" w:hAnsi="微软雅黑" w:eastAsia="微软雅黑" w:cs="微软雅黑"/>
                <w:color w:val="000000" w:themeColor="text1"/>
                <w:kern w:val="0"/>
                <w:sz w:val="24"/>
                <w:szCs w:val="24"/>
                <w14:textFill>
                  <w14:solidFill>
                    <w14:schemeClr w14:val="tx1"/>
                  </w14:solidFill>
                </w14:textFill>
              </w:rPr>
              <w:t>（盖章）</w:t>
            </w:r>
            <w:r>
              <w:rPr>
                <w:rFonts w:hint="eastAsia" w:ascii="微软雅黑" w:hAnsi="微软雅黑" w:eastAsia="微软雅黑" w:cs="微软雅黑"/>
                <w:color w:val="000000" w:themeColor="text1"/>
                <w:kern w:val="0"/>
                <w:sz w:val="24"/>
                <w:szCs w:val="24"/>
                <w14:textFill>
                  <w14:solidFill>
                    <w14:schemeClr w14:val="tx1"/>
                  </w14:solidFill>
                </w14:textFill>
              </w:rPr>
              <w:t>：</w:t>
            </w:r>
          </w:p>
        </w:tc>
      </w:tr>
      <w:tr w14:paraId="2FF0E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3CA5F58A">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法定代表/授权代表：</w:t>
            </w:r>
          </w:p>
        </w:tc>
        <w:tc>
          <w:tcPr>
            <w:tcW w:w="2500" w:type="pct"/>
          </w:tcPr>
          <w:p w14:paraId="6A5CF6EF">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法定代表/授权代表：</w:t>
            </w:r>
          </w:p>
        </w:tc>
      </w:tr>
      <w:tr w14:paraId="6B3DB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5AA414CB">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电话：</w:t>
            </w:r>
          </w:p>
        </w:tc>
        <w:tc>
          <w:tcPr>
            <w:tcW w:w="2500" w:type="pct"/>
          </w:tcPr>
          <w:p w14:paraId="674D0D4E">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电话：</w:t>
            </w:r>
          </w:p>
        </w:tc>
      </w:tr>
      <w:tr w14:paraId="72A26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4B2AB628">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传真：</w:t>
            </w:r>
          </w:p>
        </w:tc>
        <w:tc>
          <w:tcPr>
            <w:tcW w:w="2500" w:type="pct"/>
          </w:tcPr>
          <w:p w14:paraId="184356D4">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传真：</w:t>
            </w:r>
          </w:p>
        </w:tc>
      </w:tr>
      <w:tr w14:paraId="4CF9F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7636D926">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地址：</w:t>
            </w:r>
          </w:p>
          <w:p w14:paraId="400D13C2">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开户银行：</w:t>
            </w:r>
          </w:p>
          <w:p w14:paraId="5E24392B">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账号：</w:t>
            </w:r>
          </w:p>
        </w:tc>
        <w:tc>
          <w:tcPr>
            <w:tcW w:w="2500" w:type="pct"/>
          </w:tcPr>
          <w:p w14:paraId="56D2FFBC">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地址：</w:t>
            </w:r>
          </w:p>
          <w:p w14:paraId="15BEAAAA">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开户银行：</w:t>
            </w:r>
          </w:p>
          <w:p w14:paraId="5AF1A372">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账号：</w:t>
            </w:r>
          </w:p>
        </w:tc>
      </w:tr>
      <w:tr w14:paraId="001A3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4BCAE6FA">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日期：</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c>
          <w:tcPr>
            <w:tcW w:w="2500" w:type="pct"/>
          </w:tcPr>
          <w:p w14:paraId="32EB9205">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日期：</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r>
    </w:tbl>
    <w:p w14:paraId="39BC6C62">
      <w:pPr>
        <w:wordWrap w:val="0"/>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5ED"/>
    <w:rsid w:val="00286DB9"/>
    <w:rsid w:val="006A25ED"/>
    <w:rsid w:val="00ED795C"/>
    <w:rsid w:val="128116F5"/>
    <w:rsid w:val="167E1486"/>
    <w:rsid w:val="4932648B"/>
    <w:rsid w:val="71B8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6"/>
    <w:autoRedefine/>
    <w:qFormat/>
    <w:uiPriority w:val="10"/>
    <w:pPr>
      <w:spacing w:before="240" w:after="60"/>
      <w:jc w:val="center"/>
      <w:outlineLvl w:val="0"/>
    </w:pPr>
    <w:rPr>
      <w:rFonts w:eastAsia="黑体" w:asciiTheme="majorHAnsi" w:hAnsiTheme="majorHAnsi" w:cstheme="majorBidi"/>
      <w:b/>
      <w:bCs/>
      <w:sz w:val="32"/>
      <w:szCs w:val="32"/>
    </w:rPr>
  </w:style>
  <w:style w:type="table" w:styleId="4">
    <w:name w:val="Table Grid"/>
    <w:basedOn w:val="3"/>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标题 字符"/>
    <w:basedOn w:val="5"/>
    <w:link w:val="2"/>
    <w:qFormat/>
    <w:uiPriority w:val="10"/>
    <w:rPr>
      <w:rFonts w:eastAsia="黑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2307</Words>
  <Characters>2316</Characters>
  <Lines>11</Lines>
  <Paragraphs>3</Paragraphs>
  <TotalTime>0</TotalTime>
  <ScaleCrop>false</ScaleCrop>
  <LinksUpToDate>false</LinksUpToDate>
  <CharactersWithSpaces>2695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2019-03-02T11:49:00Z</dcterms:created>
  <dc:creator>雯 张</dc:creator>
  <cp:lastModifiedBy>豪</cp:lastModifiedBy>
  <dcterms:modified xsi:type="dcterms:W3CDTF">2026-03-22T06:33:20Z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8A031E6CCA884E55BC8211728F9912B6_12</vt:lpwstr>
  </property>
</Properties>
</file>