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3AC33">
      <w:pPr>
        <w:jc w:val="center"/>
      </w:pPr>
    </w:p>
    <w:p w14:paraId="1B71E683">
      <w:pPr>
        <w:pStyle w:val="2"/>
        <w:widowControl/>
        <w:spacing w:before="0" w:after="0" w:line="360" w:lineRule="auto"/>
        <w:rPr>
          <w:rFonts w:hint="eastAsia" w:ascii="微软雅黑" w:hAnsi="微软雅黑" w:eastAsia="微软雅黑" w:cs="微软雅黑"/>
          <w:b w:val="0"/>
          <w:bCs w:val="0"/>
          <w:spacing w:val="57"/>
          <w:sz w:val="36"/>
          <w:szCs w:val="36"/>
        </w:rPr>
      </w:pPr>
      <w:bookmarkStart w:id="0" w:name="_GoBack"/>
      <w:r>
        <w:rPr>
          <w:rFonts w:hint="eastAsia" w:ascii="微软雅黑" w:hAnsi="微软雅黑" w:eastAsia="微软雅黑" w:cs="微软雅黑"/>
          <w:b w:val="0"/>
          <w:bCs w:val="0"/>
          <w:spacing w:val="57"/>
          <w:sz w:val="36"/>
          <w:szCs w:val="36"/>
        </w:rPr>
        <w:t>公寓买卖合同</w:t>
      </w:r>
    </w:p>
    <w:bookmarkEnd w:id="0"/>
    <w:p w14:paraId="7BA4FC17">
      <w:pPr>
        <w:pStyle w:val="5"/>
        <w:spacing w:before="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0367E9A8">
      <w:pPr>
        <w:pStyle w:val="5"/>
        <w:spacing w:before="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甲方(出卖人)：</w:t>
      </w:r>
    </w:p>
    <w:p w14:paraId="447B89B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525E96A8">
      <w:pPr>
        <w:pStyle w:val="5"/>
        <w:spacing w:before="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11C683D3">
      <w:pPr>
        <w:pStyle w:val="5"/>
        <w:spacing w:before="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乙方（买受人）：</w:t>
      </w:r>
    </w:p>
    <w:p w14:paraId="07BBF27F">
      <w:pPr>
        <w:pStyle w:val="5"/>
        <w:spacing w:before="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5052B87E">
      <w:pPr>
        <w:pStyle w:val="5"/>
        <w:spacing w:before="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107CA91F">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甲乙双方根据《中华人民共和国民法典》等相关法律法规的规定，经平等自愿协商，签订本合同以共同遵守。</w:t>
      </w:r>
    </w:p>
    <w:p w14:paraId="1970BA98">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一、房屋买卖标的</w:t>
      </w:r>
    </w:p>
    <w:p w14:paraId="14B312C4">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1.甲方将</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大厦内第</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楼</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室公寓房屋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套（包括室内装修、设备、家具等等）卖给乙方。</w:t>
      </w:r>
    </w:p>
    <w:p w14:paraId="34E3AFDD">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2.本买卖合同所约定的房屋面积共计</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平方米。</w:t>
      </w:r>
    </w:p>
    <w:p w14:paraId="1DDE6FC7">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3.本买卖合同所涉之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大厦地址为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路</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号，该地块是经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市土地局批准，甲方以</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万元中标，获得五十年有偿使用权（截至公元</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日），因此乙方购入的公寓房屋连同相应的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平方米的土地使用权一并购入。乙方拥有对本合同所约定的买卖范围的房产权和</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平方米的土地使用权截止期限为公元</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p>
    <w:p w14:paraId="7972EB7F">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4.如甲方的土地有偿使用权结束时，本合同即行终止。</w:t>
      </w:r>
    </w:p>
    <w:p w14:paraId="48C16EE8">
      <w:pPr>
        <w:pStyle w:val="5"/>
        <w:spacing w:before="0" w:line="360" w:lineRule="auto"/>
        <w:ind w:firstLine="480" w:firstLineChars="200"/>
        <w:jc w:val="both"/>
        <w:rPr>
          <w:rFonts w:hint="eastAsia" w:ascii="微软雅黑" w:hAnsi="微软雅黑" w:eastAsia="微软雅黑" w:cs="微软雅黑"/>
          <w:b/>
          <w:color w:val="000000"/>
          <w:sz w:val="24"/>
          <w:szCs w:val="24"/>
        </w:rPr>
      </w:pPr>
    </w:p>
    <w:p w14:paraId="3FC89937">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二、房屋买卖价格及支付方式</w:t>
      </w:r>
    </w:p>
    <w:p w14:paraId="0DAAB225">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1.公寓房买卖价格为人民币</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w:t>
      </w:r>
    </w:p>
    <w:p w14:paraId="6880DCC7">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2.房款支付方式：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32A2A5FF">
      <w:pPr>
        <w:pStyle w:val="5"/>
        <w:spacing w:before="0" w:line="360" w:lineRule="auto"/>
        <w:ind w:firstLine="480" w:firstLineChars="200"/>
        <w:jc w:val="both"/>
        <w:rPr>
          <w:rFonts w:hint="eastAsia" w:ascii="微软雅黑" w:hAnsi="微软雅黑" w:eastAsia="微软雅黑" w:cs="微软雅黑"/>
          <w:b/>
          <w:color w:val="000000"/>
          <w:sz w:val="24"/>
          <w:szCs w:val="24"/>
        </w:rPr>
      </w:pPr>
    </w:p>
    <w:p w14:paraId="24C6EA1A">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三、房屋的移交</w:t>
      </w:r>
    </w:p>
    <w:p w14:paraId="7E0F9F57">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1.合同签订后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个月内乙方按照甲方销售说明书规定的有关建筑和设备标准及室内家具用品的清单，对甲方交付的房屋与设备进行验收。验收合格后双方交接房屋钥匙。</w:t>
      </w:r>
    </w:p>
    <w:p w14:paraId="3860B9C7">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2.自房屋移交之日起，房屋在土地有偿使用期限内的所有权即归乙方。不论乙方住进使用与否，均应从移交之日起由乙方承担该房屋的使用、管理和维修责任。</w:t>
      </w:r>
    </w:p>
    <w:p w14:paraId="71C3D3CB">
      <w:pPr>
        <w:pStyle w:val="5"/>
        <w:spacing w:before="0" w:line="360" w:lineRule="auto"/>
        <w:ind w:firstLine="480" w:firstLineChars="200"/>
        <w:jc w:val="both"/>
        <w:rPr>
          <w:rFonts w:hint="eastAsia" w:ascii="微软雅黑" w:hAnsi="微软雅黑" w:eastAsia="微软雅黑" w:cs="微软雅黑"/>
          <w:b/>
          <w:color w:val="000000"/>
          <w:sz w:val="24"/>
          <w:szCs w:val="24"/>
        </w:rPr>
      </w:pPr>
    </w:p>
    <w:p w14:paraId="00A0FE0C">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四、管理、维修和其他费用</w:t>
      </w:r>
    </w:p>
    <w:p w14:paraId="3B3ECA08">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1.管理维修等各项工作，均由甲方负责管辖，并向各用户进行分摊及收取相应费用。</w:t>
      </w:r>
    </w:p>
    <w:p w14:paraId="72D96D2C">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2.甲方暂定每月向乙方收取</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元的大楼管理费。大楼管理费包括公用水费、公用部位环境卫生费、公用部位绿化保养费、安全保卫费、机械保养人员及大楼房管人员费用等。</w:t>
      </w:r>
    </w:p>
    <w:p w14:paraId="1A3E153E">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甲方每月向乙方收取大楼公共设施、设备大修、小修储存费，收费标准另议。大楼大修小修储存费的用途范围如下：属甲方管辖内的公用的室内外绿化园地、道路、给排水系统、供电供气系统、弱电系统、空调系统、照明系统和消防设备、给排水设备、供电供水设备、空调设备的公用场所的所有的非人为损坏的建筑和装饰的修复。</w:t>
      </w:r>
    </w:p>
    <w:p w14:paraId="5AC1A07F">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4.乙方所应负担的电费、冷暖气空调费由甲方负责计算、分摊，甲方将总费按住户、用户面积平均分摊，另加</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％代办手续费。</w:t>
      </w:r>
    </w:p>
    <w:p w14:paraId="51371216">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5.本买卖合同价格中不含停汽车的位置费用，乙方若需租用地下停车场车位，请与甲方商议，另签订停车场地租用合同。</w:t>
      </w:r>
    </w:p>
    <w:p w14:paraId="48BDA9B0">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6.本买卖合同价格中不含室内清洁费，若需清扫室内卫生，乙方请与甲方联系，由甲方统一安排人员清扫，费用另议。</w:t>
      </w:r>
    </w:p>
    <w:p w14:paraId="2F239AA8">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7.上述各类费用由甲方按月开出收款单，乙方在接到付款通知单后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天内一次付清，逾期按日计收应缴款额的千分之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%）滞纳金。</w:t>
      </w:r>
    </w:p>
    <w:p w14:paraId="03F0F115">
      <w:pPr>
        <w:pStyle w:val="5"/>
        <w:spacing w:before="0" w:line="360" w:lineRule="auto"/>
        <w:ind w:firstLine="480" w:firstLineChars="200"/>
        <w:jc w:val="both"/>
        <w:rPr>
          <w:rFonts w:hint="eastAsia" w:ascii="微软雅黑" w:hAnsi="微软雅黑" w:eastAsia="微软雅黑" w:cs="微软雅黑"/>
          <w:b/>
          <w:color w:val="000000"/>
          <w:sz w:val="24"/>
          <w:szCs w:val="24"/>
        </w:rPr>
      </w:pPr>
    </w:p>
    <w:p w14:paraId="4D5D6222">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五、房屋维修</w:t>
      </w:r>
    </w:p>
    <w:p w14:paraId="128A9256">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本合同签订且房屋经验收后，房屋的维修即由乙方负担。但验收后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年内，因施工质量造成的房屋维修及设备质量造成的维修由甲方负责解决。但如属人为损坏的房屋、设备，损坏人应承担其修理费用及赔偿损失。</w:t>
      </w:r>
    </w:p>
    <w:p w14:paraId="691CBADE">
      <w:pPr>
        <w:pStyle w:val="5"/>
        <w:spacing w:before="0" w:line="360" w:lineRule="auto"/>
        <w:ind w:firstLine="480" w:firstLineChars="200"/>
        <w:jc w:val="both"/>
        <w:rPr>
          <w:rFonts w:hint="eastAsia" w:ascii="微软雅黑" w:hAnsi="微软雅黑" w:eastAsia="微软雅黑" w:cs="微软雅黑"/>
          <w:b/>
          <w:color w:val="000000"/>
          <w:sz w:val="24"/>
          <w:szCs w:val="24"/>
        </w:rPr>
      </w:pPr>
    </w:p>
    <w:p w14:paraId="0E39B762">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六、过户手续办理</w:t>
      </w:r>
    </w:p>
    <w:p w14:paraId="573CF12F">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1.甲、乙方在签订本房屋买卖合同后，须经有关部门公证。</w:t>
      </w:r>
    </w:p>
    <w:p w14:paraId="57FD75F5">
      <w:pPr>
        <w:pStyle w:val="5"/>
        <w:spacing w:before="0" w:line="360" w:lineRule="auto"/>
        <w:ind w:firstLine="480" w:firstLineChars="200"/>
        <w:jc w:val="both"/>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2.乙方凭合同、公证书等有效的合法文件向_________市土地局、市房产管理局分别办理过户手续，缴纳过户费和领取房产权证书。</w:t>
      </w:r>
    </w:p>
    <w:p w14:paraId="31A328B2">
      <w:pPr>
        <w:pStyle w:val="5"/>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七、争议解决</w:t>
      </w:r>
    </w:p>
    <w:p w14:paraId="5B5D15B2">
      <w:pPr>
        <w:tabs>
          <w:tab w:val="left" w:pos="0"/>
        </w:tabs>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仲裁委员会，按照其届时有效的仲裁规则仲裁解决。仲裁裁决是终局的，对双方均有约束力。</w:t>
      </w:r>
    </w:p>
    <w:p w14:paraId="1D16301F">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color w:val="000000"/>
          <w:sz w:val="24"/>
          <w:szCs w:val="24"/>
        </w:rPr>
        <w:t>八、</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7740E2A9">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0F445F97">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4D13D070">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0C303574">
      <w:pPr>
        <w:pStyle w:val="5"/>
        <w:spacing w:before="0" w:line="360" w:lineRule="auto"/>
        <w:ind w:firstLine="480" w:firstLineChars="200"/>
        <w:jc w:val="both"/>
        <w:rPr>
          <w:rFonts w:hint="eastAsia" w:ascii="微软雅黑" w:hAnsi="微软雅黑" w:eastAsia="微软雅黑" w:cs="微软雅黑"/>
          <w:color w:val="000000"/>
          <w:sz w:val="24"/>
          <w:szCs w:val="24"/>
        </w:rPr>
      </w:pPr>
    </w:p>
    <w:p w14:paraId="307F51AC">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九、其他约定</w:t>
      </w:r>
    </w:p>
    <w:p w14:paraId="1F6D059C">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本合同自签订之日起生效，</w:t>
      </w:r>
      <w:r>
        <w:rPr>
          <w:rFonts w:hint="eastAsia" w:ascii="微软雅黑" w:hAnsi="微软雅黑" w:eastAsia="微软雅黑" w:cs="微软雅黑"/>
          <w:color w:val="000000" w:themeColor="text1"/>
          <w:sz w:val="24"/>
          <w:szCs w:val="24"/>
          <w14:textFill>
            <w14:solidFill>
              <w14:schemeClr w14:val="tx1"/>
            </w14:solidFill>
          </w14:textFill>
        </w:rPr>
        <w:t>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347CE8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在本合同执行过程中，如发现相关事项约定不明确，或者履行其他事项受到限制需要增加、调整约定事项的，甲乙双方可对本合同相关条款进行变更，并签订补充协议或者重新签订合同。</w:t>
      </w:r>
    </w:p>
    <w:p w14:paraId="4C5AFD2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59AF5F9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送达地址以及方式</w:t>
      </w:r>
    </w:p>
    <w:p w14:paraId="37F41A0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w:t>
      </w:r>
    </w:p>
    <w:p w14:paraId="2A981C8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1.甲方确认送达地址如下：</w:t>
      </w:r>
    </w:p>
    <w:p w14:paraId="288BE6B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1A1E319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1360B85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008D60B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4AC4F8C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01895E3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0DEF1F9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299BE0F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5C1315E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633CF64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34C10DC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2.乙方确认送达地址如下：</w:t>
      </w:r>
    </w:p>
    <w:p w14:paraId="6D39B10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594851E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467BAD9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11BE5D8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4F17EE2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6418E2C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29C1C3F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0988A1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59B69D2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4DB7193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（二）送达方式</w:t>
      </w:r>
    </w:p>
    <w:p w14:paraId="0450049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 双方同意，本合同项下的通知、函件、诉讼文书等文件，以下列方式送达对方：</w:t>
      </w:r>
    </w:p>
    <w:p w14:paraId="0CCDD18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1.直接送达：将文件送至对方指定的送达地址，视为已送达；</w:t>
      </w:r>
    </w:p>
    <w:p w14:paraId="4EEB0CD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2.邮寄送达：将文件通过挂号信、特快专递等方式寄至对方指定的送达地址，以邮戳日期为准，视为已送达；</w:t>
      </w:r>
    </w:p>
    <w:p w14:paraId="2A5973A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3.电子送达：将文件通过电子邮件、短信、微信等方式发送至对方指定的电子邮箱、手机号码等，发送成功即视为已送达。</w:t>
      </w:r>
    </w:p>
    <w:p w14:paraId="44B74AD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送达条款</w:t>
      </w:r>
    </w:p>
    <w:p w14:paraId="46BF5DF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（一）本送达条款适用于合同履行履行期间及合同纠纷解决过程中的所有文件送达。</w:t>
      </w:r>
    </w:p>
    <w:p w14:paraId="3684C59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E9D0B2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（三）双方在合同履行过程中由双方共同明示或默示确认的合同约定外的送达地址和联系方式不影响送达效力。</w:t>
      </w:r>
    </w:p>
    <w:p w14:paraId="09C25E3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00A6406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050154A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1F19957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1.擅自变更送达地址及信息且未及时通知对方的；</w:t>
      </w:r>
    </w:p>
    <w:p w14:paraId="3386B7F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2.送达地址与信息同工商登记信息不一致且未及时更改的；</w:t>
      </w:r>
    </w:p>
    <w:p w14:paraId="524B99B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3953E42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4.因接收方过错造成无法正常送达的其他行为。</w:t>
      </w:r>
    </w:p>
    <w:p w14:paraId="54A83EBD">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57BB977">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686FE26">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3D0AB3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7744DAF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790C68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81C83CD">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8F9451B">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DDD23E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77B741F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C69790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0555615C">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784A90A">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755BB5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2F003F1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37800F79">
      <w:pPr>
        <w:pStyle w:val="5"/>
        <w:spacing w:before="0" w:line="360" w:lineRule="auto"/>
        <w:ind w:firstLine="480" w:firstLineChars="200"/>
        <w:jc w:val="both"/>
        <w:rPr>
          <w:rFonts w:hint="eastAsia" w:ascii="微软雅黑" w:hAnsi="微软雅黑" w:eastAsia="微软雅黑" w:cs="微软雅黑"/>
          <w:color w:val="000000"/>
          <w:sz w:val="24"/>
          <w:szCs w:val="24"/>
        </w:rPr>
      </w:pPr>
    </w:p>
    <w:p w14:paraId="46DE5372">
      <w:pPr>
        <w:spacing w:line="360" w:lineRule="auto"/>
        <w:ind w:firstLine="480" w:firstLineChars="200"/>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AE32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B7F0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FB7F0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658A1DBF"/>
    <w:rsid w:val="000A38C5"/>
    <w:rsid w:val="004B1AF9"/>
    <w:rsid w:val="00794265"/>
    <w:rsid w:val="00B81808"/>
    <w:rsid w:val="00D514ED"/>
    <w:rsid w:val="00EB5281"/>
    <w:rsid w:val="23AD104D"/>
    <w:rsid w:val="27CB3E50"/>
    <w:rsid w:val="2C1D2D1E"/>
    <w:rsid w:val="4C807622"/>
    <w:rsid w:val="658A1DBF"/>
    <w:rsid w:val="74221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8"/>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90"/>
      <w:jc w:val="left"/>
    </w:pPr>
    <w:rPr>
      <w:rFonts w:ascii="Times New Roman" w:hAnsi="Times New Roman" w:eastAsia="等线" w:cs="Times New Roman"/>
      <w:kern w:val="0"/>
      <w:sz w:val="24"/>
      <w:szCs w:val="20"/>
    </w:rPr>
  </w:style>
  <w:style w:type="character" w:customStyle="1" w:styleId="8">
    <w:name w:val="标题 3 字符"/>
    <w:basedOn w:val="7"/>
    <w:link w:val="2"/>
    <w:qFormat/>
    <w:uiPriority w:val="0"/>
    <w:rPr>
      <w:rFonts w:hint="eastAsia" w:ascii="等线" w:hAnsi="等线" w:eastAsia="宋体" w:cs="Times New Roman"/>
      <w:b/>
      <w:bCs/>
      <w:sz w:val="32"/>
      <w:szCs w:val="32"/>
    </w:rPr>
  </w:style>
  <w:style w:type="character" w:customStyle="1" w:styleId="9">
    <w:name w:val="页眉 字符"/>
    <w:basedOn w:val="7"/>
    <w:link w:val="4"/>
    <w:qFormat/>
    <w:uiPriority w:val="0"/>
    <w:rPr>
      <w:sz w:val="18"/>
      <w:szCs w:val="18"/>
    </w:rPr>
  </w:style>
  <w:style w:type="character" w:customStyle="1" w:styleId="10">
    <w:name w:val="页脚 字符"/>
    <w:basedOn w:val="7"/>
    <w:link w:val="3"/>
    <w:qFormat/>
    <w:uiPriority w:val="0"/>
    <w:rPr>
      <w:sz w:val="18"/>
      <w:szCs w:val="18"/>
    </w:rPr>
  </w:style>
  <w:style w:type="table" w:customStyle="1" w:styleId="11">
    <w:name w:val="网格表 1 浅色1"/>
    <w:basedOn w:val="6"/>
    <w:qFormat/>
    <w:uiPriority w:val="0"/>
    <w:rPr>
      <w:rFonts w:ascii="Times New Roman" w:hAnsi="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cPr>
      <w:tcBorders>
        <w:top w:val="single" w:color="999999" w:sz="4" w:space="0"/>
        <w:left w:val="single" w:color="999999" w:sz="4" w:space="0"/>
        <w:bottom w:val="single" w:color="999999" w:sz="4" w:space="0"/>
        <w:right w:val="single" w:color="999999" w:sz="4" w:space="0"/>
      </w:tcBorders>
    </w:tc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2579</Words>
  <Characters>2616</Characters>
  <Lines>22</Lines>
  <Paragraphs>6</Paragraphs>
  <TotalTime>1</TotalTime>
  <ScaleCrop>false</ScaleCrop>
  <LinksUpToDate>false</LinksUpToDate>
  <CharactersWithSpaces>3034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2023-08-02T07:59:00Z</dcterms:created>
  <dc:creator>差不多先生</dc:creator>
  <cp:lastModifiedBy>豪</cp:lastModifiedBy>
  <dcterms:modified xsi:type="dcterms:W3CDTF">2026-03-22T06:58:28Z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84632F6197C84762A2C7548BB542B4FF_11</vt:lpwstr>
  </property>
  <property fmtid="{D5CDD505-2E9C-101B-9397-08002B2CF9AE}" pid="4" name="KSOTemplateDocerSaveRecord">
    <vt:lpwstr>eyJoZGlkIjoiNTg0MzMyNGJiMDEzODc5ODNlMGVjODViOWRkZjg1MDgiLCJ1c2VySWQiOiIxMjc2Mzc3NjgxIn0=</vt:lpwstr>
  </property>
</Properties>
</file>