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41E2E">
      <w:pPr>
        <w:spacing w:line="360" w:lineRule="auto"/>
        <w:jc w:val="center"/>
        <w:rPr>
          <w:rFonts w:hint="eastAsia" w:ascii="楷体" w:hAnsi="楷体" w:eastAsia="楷体"/>
          <w:color w:val="000000" w:themeColor="text1"/>
          <w:sz w:val="36"/>
          <w:szCs w:val="36"/>
          <w14:textFill>
            <w14:solidFill>
              <w14:schemeClr w14:val="tx1"/>
            </w14:solidFill>
          </w14:textFill>
        </w:rPr>
      </w:pPr>
      <w:bookmarkStart w:id="0" w:name="_GoBack"/>
    </w:p>
    <w:p w14:paraId="04AAC012">
      <w:pPr>
        <w:spacing w:line="360" w:lineRule="auto"/>
        <w:jc w:val="center"/>
        <w:rPr>
          <w:rFonts w:hint="eastAsia" w:ascii="微软雅黑" w:hAnsi="微软雅黑" w:eastAsia="微软雅黑" w:cs="微软雅黑"/>
          <w:bCs/>
          <w:color w:val="000000" w:themeColor="text1"/>
          <w:sz w:val="36"/>
          <w:szCs w:val="36"/>
          <w14:textFill>
            <w14:solidFill>
              <w14:schemeClr w14:val="tx1"/>
            </w14:solidFill>
          </w14:textFill>
        </w:rPr>
      </w:pPr>
      <w:r>
        <w:rPr>
          <w:rFonts w:hint="eastAsia" w:ascii="微软雅黑" w:hAnsi="微软雅黑" w:eastAsia="微软雅黑" w:cs="微软雅黑"/>
          <w:bCs/>
          <w:color w:val="000000" w:themeColor="text1"/>
          <w:spacing w:val="57"/>
          <w:sz w:val="36"/>
          <w:szCs w:val="36"/>
          <w14:textFill>
            <w14:solidFill>
              <w14:schemeClr w14:val="tx1"/>
            </w14:solidFill>
          </w14:textFill>
        </w:rPr>
        <w:t>厨房设备买卖安装合同</w:t>
      </w:r>
    </w:p>
    <w:bookmarkEnd w:id="0"/>
    <w:p w14:paraId="198FA23A">
      <w:pPr>
        <w:spacing w:line="360" w:lineRule="auto"/>
        <w:jc w:val="center"/>
        <w:rPr>
          <w:rFonts w:hint="eastAsia" w:ascii="微软雅黑" w:hAnsi="微软雅黑" w:eastAsia="微软雅黑" w:cs="微软雅黑"/>
          <w:b/>
          <w:color w:val="000000" w:themeColor="text1"/>
          <w:sz w:val="24"/>
          <w:szCs w:val="24"/>
          <w14:textFill>
            <w14:solidFill>
              <w14:schemeClr w14:val="tx1"/>
            </w14:solidFill>
          </w14:textFill>
        </w:rPr>
      </w:pPr>
    </w:p>
    <w:p w14:paraId="21CC31F7">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甲方（购买方）：</w:t>
      </w:r>
    </w:p>
    <w:p w14:paraId="4216F104">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7AE917A">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乙方（销售方）：</w:t>
      </w:r>
    </w:p>
    <w:p w14:paraId="2F247321">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统一社会信用代码：</w:t>
      </w:r>
    </w:p>
    <w:p w14:paraId="7E2FF78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6DAF050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根据《中华人民共和国民法典》及其他有关法律、法规，经双方友好协商，就甲方向乙方购买厨房设备及安装相关事宜达成一致，并签订本合同，共同遵守。</w:t>
      </w:r>
    </w:p>
    <w:p w14:paraId="60452973">
      <w:pPr>
        <w:pStyle w:val="5"/>
        <w:numPr>
          <w:ilvl w:val="255"/>
          <w:numId w:val="0"/>
        </w:num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一、合同标的：</w:t>
      </w:r>
    </w:p>
    <w:p w14:paraId="1CBBF7D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产品名称：</w:t>
      </w:r>
    </w:p>
    <w:p w14:paraId="1BC880A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规格型号</w:t>
      </w:r>
      <w:r>
        <w:rPr>
          <w:rFonts w:hint="eastAsia" w:ascii="微软雅黑" w:hAnsi="微软雅黑" w:eastAsia="微软雅黑" w:cs="微软雅黑"/>
          <w:color w:val="000000" w:themeColor="text1"/>
          <w:sz w:val="24"/>
          <w:szCs w:val="24"/>
          <w14:textFill>
            <w14:solidFill>
              <w14:schemeClr w14:val="tx1"/>
            </w14:solidFill>
          </w14:textFill>
        </w:rPr>
        <w:tab/>
      </w:r>
    </w:p>
    <w:p w14:paraId="2B38660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品牌</w:t>
      </w:r>
      <w:r>
        <w:rPr>
          <w:rFonts w:hint="eastAsia" w:ascii="微软雅黑" w:hAnsi="微软雅黑" w:eastAsia="微软雅黑" w:cs="微软雅黑"/>
          <w:color w:val="000000" w:themeColor="text1"/>
          <w:sz w:val="24"/>
          <w:szCs w:val="24"/>
          <w14:textFill>
            <w14:solidFill>
              <w14:schemeClr w14:val="tx1"/>
            </w14:solidFill>
          </w14:textFill>
        </w:rPr>
        <w:tab/>
      </w:r>
    </w:p>
    <w:p w14:paraId="2221B4A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暂估数量</w:t>
      </w:r>
      <w:r>
        <w:rPr>
          <w:rFonts w:hint="eastAsia" w:ascii="微软雅黑" w:hAnsi="微软雅黑" w:eastAsia="微软雅黑" w:cs="微软雅黑"/>
          <w:color w:val="000000" w:themeColor="text1"/>
          <w:sz w:val="24"/>
          <w:szCs w:val="24"/>
          <w14:textFill>
            <w14:solidFill>
              <w14:schemeClr w14:val="tx1"/>
            </w14:solidFill>
          </w14:textFill>
        </w:rPr>
        <w:tab/>
      </w:r>
    </w:p>
    <w:p w14:paraId="6C088BA1">
      <w:pPr>
        <w:pStyle w:val="5"/>
        <w:spacing w:line="360" w:lineRule="auto"/>
        <w:ind w:firstLine="560"/>
        <w:rPr>
          <w:rFonts w:hint="eastAsia" w:ascii="微软雅黑" w:hAnsi="微软雅黑" w:eastAsia="微软雅黑" w:cs="微软雅黑"/>
          <w:color w:val="000000" w:themeColor="text1"/>
          <w:sz w:val="24"/>
          <w:szCs w:val="24"/>
          <w14:textFill>
            <w14:solidFill>
              <w14:schemeClr w14:val="tx1"/>
            </w14:solidFill>
          </w14:textFill>
        </w:rPr>
      </w:pPr>
    </w:p>
    <w:p w14:paraId="55051BF1">
      <w:pPr>
        <w:pStyle w:val="5"/>
        <w:numPr>
          <w:ilvl w:val="255"/>
          <w:numId w:val="0"/>
        </w:num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二、质量标准</w:t>
      </w:r>
    </w:p>
    <w:p w14:paraId="243EB3F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产品的质量标准按照国家标准、行业标准或制造厂家企业标准确定，上述标准不一致的，以严格的标准为准。没有国家标准、行业标准和企业标准的，按照通常标准或者符合协议目的的特定标准确定，甲方有技术要求的按甲方技术标准的要求执行。</w:t>
      </w:r>
    </w:p>
    <w:p w14:paraId="350AE35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2．乙方向甲方提供的产品应当符合本合同约定的要求及《中华人民共和国产品质量法》的有关规定并且应当是全新的、未使用过的、原厂生产的合格产品。</w:t>
      </w:r>
    </w:p>
    <w:p w14:paraId="4FB9422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3．经乙方安装调试完毕的产品，应当满足甲方需求，能够正常运转。</w:t>
      </w:r>
    </w:p>
    <w:p w14:paraId="203775C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3A02F8AC">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三、合同价款及付款方式</w:t>
      </w:r>
    </w:p>
    <w:p w14:paraId="0A3A93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1．本合同为固定综合单价合同，暂估总价款：¥</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元（大写：人民币         元</w:t>
      </w:r>
      <w:r>
        <w:rPr>
          <w:rFonts w:hint="eastAsia" w:ascii="微软雅黑" w:hAnsi="微软雅黑" w:eastAsia="微软雅黑" w:cs="微软雅黑"/>
          <w:color w:val="000000" w:themeColor="text1"/>
          <w:sz w:val="24"/>
          <w:szCs w:val="24"/>
          <w:u w:val="single"/>
          <w14:textFill>
            <w14:solidFill>
              <w14:schemeClr w14:val="tx1"/>
            </w14:solidFill>
          </w14:textFill>
        </w:rPr>
        <w:t>）</w:t>
      </w:r>
      <w:r>
        <w:rPr>
          <w:rFonts w:hint="eastAsia" w:ascii="微软雅黑" w:hAnsi="微软雅黑" w:eastAsia="微软雅黑" w:cs="微软雅黑"/>
          <w:color w:val="000000" w:themeColor="text1"/>
          <w:sz w:val="24"/>
          <w:szCs w:val="24"/>
          <w14:textFill>
            <w14:solidFill>
              <w14:schemeClr w14:val="tx1"/>
            </w14:solidFill>
          </w14:textFill>
        </w:rPr>
        <w:t>。综合单价包括但不限于成本、利润、供货周期内的价格波动、税金、验收、保险、运输、包装、安装调试、检测检验费、市场物价因素及风险，不受市场价格涨幅影响、因质量问题引起的维修和更换等乙方完成本合同内容甲方应支付的全部费用。</w:t>
      </w:r>
    </w:p>
    <w:p w14:paraId="7D4AE05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2．配套设备要求及长期供应优惠条件：</w:t>
      </w:r>
    </w:p>
    <w:p w14:paraId="2FD3AEF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3．备品备件（含易损件）要求及长期供应优惠条件：</w:t>
      </w:r>
    </w:p>
    <w:p w14:paraId="27DD20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4．本合同签订之日起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天内，甲方支付分批供货暂定价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％作为预付款；设备到货并经甲方验收后支付该批次设备总价的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％作为进度款；完成设备安装、调试经甲方验收合格之日起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天内支付该批次供货结算总价的</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％的货款；剩余</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％为质保金，待质保期届满，乙方交付的产品无质量问题、同时乙方无任何违约行为的，甲方于期满后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日内支付（不计息）。</w:t>
      </w:r>
    </w:p>
    <w:p w14:paraId="51598CA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5．乙方收款前须开具相应金额的增值税专用发票给甲方，否则甲方的付款期限顺延。乙方应当确保发票真实无误且合法有效，如发票出现任何问题由乙方承担责任，赔偿甲方由此遭受的全部损失。</w:t>
      </w:r>
    </w:p>
    <w:p w14:paraId="5FB2EE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 xml:space="preserve">6．在本合同履行过程中，甲方增减采购产品数量的，价格按本合同约定价格执行，合同期内产品单价不因任何原因而调整。 </w:t>
      </w:r>
    </w:p>
    <w:p w14:paraId="13B6B81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72CE104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四、产品的交付</w:t>
      </w:r>
    </w:p>
    <w:p w14:paraId="451FED6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1．根据甲方的使用需要和乙方的生产进度，在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年</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月</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日前，乙方应完成产品交付并安装调试至能够正常使用。</w:t>
      </w:r>
    </w:p>
    <w:p w14:paraId="7D1BBE7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2．交货地点：</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。全部产品从乙方到甲方指定地点所发生运费、保险费、其他一切费用由乙方承担。</w:t>
      </w:r>
    </w:p>
    <w:p w14:paraId="6752448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3．交货安装调试完毕并经甲方验收合格前货物毁损、灭失的风险均由乙方承担。</w:t>
      </w:r>
    </w:p>
    <w:p w14:paraId="355F46E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4．乙方负责产品的包装，包装应确保货物安全,装卸、运输方便，符合安全、环保、卫生标准要求，由此产生的费用由乙方承担，且包装物不予回收。</w:t>
      </w:r>
    </w:p>
    <w:p w14:paraId="0D9F86B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5．随机资料和配套附属设备要求：交货同时向甲方提交产品的质量检测报告、产品合格证书、保修单、使用说明书等随附单证</w:t>
      </w:r>
    </w:p>
    <w:p w14:paraId="5B88BACD">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108AC113">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五、产品安装及要求</w:t>
      </w:r>
    </w:p>
    <w:p w14:paraId="0255A14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1．设备安装要求</w:t>
      </w:r>
    </w:p>
    <w:p w14:paraId="5D094FF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本设备安装工程执行国家现行更新的质量标准、技术规程及验收规范等。若使用不同和/或替代的，应加以详细说明，且应提供其差异点对照表，只有当其等同和/或优于时，方被接受，且其冲突处理应执行其最为严格的要求。达到一次性验收合格标准，并满足甲方技术要求，乙方负责免费进行设备的安装测试同时完成。</w:t>
      </w:r>
    </w:p>
    <w:p w14:paraId="6802A97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产品安装期间乙方应严格做好安全防护措施，设置安全警示标识，及时消除安全隐患，做到安全施工、文明施工，承担相关费用。安装期间发生安全事故的，责任由乙方承担，由此造成甲方、乙方人员或者第三方损失的，乙方予以赔偿。</w:t>
      </w:r>
    </w:p>
    <w:p w14:paraId="29B7CFE5">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2C52B66">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六、验收</w:t>
      </w:r>
    </w:p>
    <w:p w14:paraId="34940BC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1．乙方应严格执行合同约定的供货周期，保质、保量的完成产品的供货。在每批次合同标的物到达指定地点后，甲、乙双方代表应对产品的数量、包装、规格、品牌、质量、随付单证等清点。</w:t>
      </w:r>
    </w:p>
    <w:p w14:paraId="52461E1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2．产品到货验收完毕后，乙方对产品进行安装调试，安装完毕甲、乙双方应派代表到现场按照本合同标准进行检验，验收合格的，双方签署《产品到货验收单》作为结算依据。</w:t>
      </w:r>
    </w:p>
    <w:p w14:paraId="55E9AE4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产品经甲方验收合格后若甲方对产品质量有异议但必须通过检测才能判断时，甲方有权委托具有相应资质的检测单位按照国家相关标准进行检测，质量检测合格的检测费用由甲方承担，质量检测不合格的检测费用由乙方承担，乙方应当在5日内更换符合本合同质量要求的合格产品，由此产生的费用由乙方承担，并承担相应违约责任。</w:t>
      </w:r>
    </w:p>
    <w:p w14:paraId="16BE940F">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00D2A1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七、质量保修</w:t>
      </w:r>
    </w:p>
    <w:p w14:paraId="4402D21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1．本合同产品的保修期为自甲乙双方在《产品到货验收单》上签字确认起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个月。</w:t>
      </w:r>
    </w:p>
    <w:p w14:paraId="7F2056D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2．在保修期内，乙方对所提供的设备实行定期巡检，</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个月时间定期进行保养（或维护、巡检）制度。设备出现质量问题，乙方应当在甲方通知之日起</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小时内免费上门进行维修、更换，普通故障保证在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天内修复，设备类故障保证在</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天内修复；如产品质量问题严重，影响甲方正常使用的，甲方有权要求乙方无条件退货。</w:t>
      </w:r>
    </w:p>
    <w:p w14:paraId="1EFE0DD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逾期未按本条约定进行维修、更换或维修、更换后仍不符合合同约定的，甲方有权自行或委托第三人进行维修、更换，由此产生的费用由乙方承担。经过甲方或第三人维修、更换后的产品，乙方继续按本合同约定承担质量保修责任。乙方未及时履行保修义务导致的损失均由乙方承担。</w:t>
      </w:r>
    </w:p>
    <w:p w14:paraId="064F7FF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4．保修期内，乙方提供的缺陷修补、维修、维护及更换零件均免收任何费用，若因甲方用户使用不当所致，乙方只收取工本费。</w:t>
      </w:r>
    </w:p>
    <w:p w14:paraId="26BBCC6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5．产品经过维修后，自维修合格送还甲方之日起，保修期重新开始计算。</w:t>
      </w:r>
    </w:p>
    <w:p w14:paraId="74DFABF0">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56A7C8A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八、甲乙双方的义务</w:t>
      </w:r>
    </w:p>
    <w:p w14:paraId="72C0A35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1．甲方的义务：</w:t>
      </w:r>
    </w:p>
    <w:p w14:paraId="70D5B84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 办理与该项工程有关的一切许可手续，如申请施工审批等;</w:t>
      </w:r>
    </w:p>
    <w:p w14:paraId="06CECAE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 施工前，免费接通施工现场的水源、电源和运输信道，清除现场内的一切障碍物;</w:t>
      </w:r>
    </w:p>
    <w:p w14:paraId="72EAF4C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 按时支付本工程各阶段价款、按时组织工程验收和办理工程结算。</w:t>
      </w:r>
    </w:p>
    <w:p w14:paraId="6D83174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（4）在知悉与本工程、本合同有重大关系的事项时，及时并真实地告知乙方。</w:t>
      </w:r>
    </w:p>
    <w:p w14:paraId="4708928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（5）合同签订后，有权根据工程实际需要更换产品数量、规格，乙方应予调整，但甲方应在乙方开始生产前向乙方提出。</w:t>
      </w:r>
    </w:p>
    <w:p w14:paraId="796A5C4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甲方如因乙方不能按合同履约而中途解除合约，甲方就同意接受并使用的成品、半成品向乙方支付价款，如果甲方要求全部退货，乙方同意返还已收到的设备款，并按合同违约条款的约定承担相应违约责任。</w:t>
      </w:r>
    </w:p>
    <w:p w14:paraId="6B79AEF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2．乙方的义务：</w:t>
      </w:r>
    </w:p>
    <w:p w14:paraId="15DAD4F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（1）免费为本工程布局设计，并交甲方审定。</w:t>
      </w:r>
    </w:p>
    <w:p w14:paraId="453BB25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（2）负责做好材料、设备的采购、供应和保管。</w:t>
      </w:r>
    </w:p>
    <w:p w14:paraId="34045F6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（3）严格按设计图和双方约定的《用料标准》进行制作和施工安装，确保工程质量，按本合同规定时间如期完工和交工，并向甲方提交结算手续。</w:t>
      </w:r>
    </w:p>
    <w:p w14:paraId="10F7B87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（4）已完成的厨房工程，在交工前负责保管，并清理好现场。</w:t>
      </w:r>
    </w:p>
    <w:p w14:paraId="18B8672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（5）本合同规定的保修期内，对属于乙方责任的质量问题负责无偿修理。</w:t>
      </w:r>
    </w:p>
    <w:p w14:paraId="23885D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（6）施工过程中保持现场清洁，每日进行现场清理工作，及时清除障碍物，存放并处置好设备及多余材料，清理现场废料及垃圾，保持现场清洁整齐。</w:t>
      </w:r>
    </w:p>
    <w:p w14:paraId="0D419E0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（7）设备安装、调试、验收过程中如发生安全事故，乙方对此承担全部法律责任及费用，同时，乙方应采取一切合理必要措施保护现场，防止损失的扩大。</w:t>
      </w:r>
    </w:p>
    <w:p w14:paraId="7958414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（8）设备运输至项目现场的运输费、装卸费由乙方承担，如部分设备不符合合同约定，乙方负责更换，交货期不予顺延。</w:t>
      </w:r>
    </w:p>
    <w:p w14:paraId="2E60F014">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20B7E43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九、免责条款</w:t>
      </w:r>
    </w:p>
    <w:p w14:paraId="08E9F1E7">
      <w:pPr>
        <w:autoSpaceDE w:val="0"/>
        <w:autoSpaceDN w:val="0"/>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4F7A6C23">
      <w:pPr>
        <w:autoSpaceDE w:val="0"/>
        <w:autoSpaceDN w:val="0"/>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2．当出现双方在订立合同时无法预见的、不属于商业风险的重大变化，双方不能协商变更合同导致合同解除的，双方互不承担违约责任。</w:t>
      </w:r>
    </w:p>
    <w:p w14:paraId="31E7CD5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3．因治安管理案件或刑事犯罪案件，包括但不限于故意伤害、爆炸、偷盗、抢劫等导致人身伤害或财产损失的，由行为人承担责任。</w:t>
      </w:r>
    </w:p>
    <w:p w14:paraId="4C2221DC">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087C9A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十、特别约定</w:t>
      </w:r>
    </w:p>
    <w:p w14:paraId="3B7D2A2C">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w:t>
      </w:r>
    </w:p>
    <w:p w14:paraId="3900023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w:t>
      </w:r>
      <w:r>
        <w:rPr>
          <w:rFonts w:hint="eastAsia" w:ascii="微软雅黑" w:hAnsi="微软雅黑" w:eastAsia="微软雅黑" w:cs="微软雅黑"/>
          <w:color w:val="000000" w:themeColor="text1"/>
          <w:sz w:val="24"/>
          <w:szCs w:val="24"/>
          <w14:textFill>
            <w14:solidFill>
              <w14:schemeClr w14:val="tx1"/>
            </w14:solidFill>
          </w14:textFill>
        </w:rPr>
        <w:tab/>
      </w:r>
    </w:p>
    <w:p w14:paraId="5C32ECC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806D3E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十一、违约责任</w:t>
      </w:r>
    </w:p>
    <w:p w14:paraId="0CE1C07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1．若乙方未按本合同约定或甲方发货通知要求的期限交货、安装或完成本合同约定的其他工作的，每逾期一天，乙方应按本合同总价款的万分之五向甲方支付违约金；逾期15天，甲方有权选择单方解除本合同。</w:t>
      </w:r>
    </w:p>
    <w:p w14:paraId="693C2D7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2．经过甲方验收，乙方交付的产品数量、包装、规格、品牌、质量、随附单证等与合同约定不一致的，视为交付不合格，甲方有权采取下列任何一种措施追究乙方违约责任：</w:t>
      </w:r>
    </w:p>
    <w:p w14:paraId="1494A7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拒绝接受不合格产品，要求乙方在5日内无条件更换、补足或修理、重做，由此产生的费用由乙方承担，因此延误交货期的乙方承担相应的违约责任，逾期15日仍未更换、补足或更换、补足后仍不符合合同约定的，甲方有权选择单方解除本合同或部分解除本合同；</w:t>
      </w:r>
    </w:p>
    <w:p w14:paraId="0DAC7B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（2）已经接收的产品要求乙方在5日内无条件退货并退还甲方已支付的全部价款；</w:t>
      </w:r>
    </w:p>
    <w:p w14:paraId="47AD184A">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（3）无法退货的，乙方应当向甲方支付本合同总金额的10%作为违约金。</w:t>
      </w:r>
    </w:p>
    <w:p w14:paraId="13B9012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3．乙方对其交付产品的质量承担保证责任，因产品生产工艺、材料缺陷或安装不当等原因发生质量故障的，无论产品的保修期是否经过，均由乙方承担责任，赔偿由此给甲方、第三人造成的全部损失。</w:t>
      </w:r>
    </w:p>
    <w:p w14:paraId="5F86052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乙方应当保证有权销售本合同的所有产品，不会因此侵犯到第三人的所有权、知识产权等一切权利也未对产品设置任何负担，属于第三人拥有知识产权的已经取得第三人合法授权，甲方有权不受限制的使用。若因违反本款约定引起的第三方权利纠纷的由乙方负责解决，包括甲方使用该产品所需的授权费以及解决争议发生的一切费用均由乙方承担。如果不能取得使用许可需要另行购买产品的，所需费用由乙方承担，并赔偿甲方因此受到的损失。</w:t>
      </w:r>
    </w:p>
    <w:p w14:paraId="37851B2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4．本合同签订及履行过程中，未经甲方书面同意，乙方不得将本合同的权利义务以任何方式转让给第三人，否则甲方有权选择单方解除本合同并要求乙方支付合同总金额20%的违约金。</w:t>
      </w:r>
    </w:p>
    <w:p w14:paraId="3F63978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5．本合同签订后，乙方要求提前解除合同的，应向甲方支付本合同总价款20%的违约金，退还甲方已支付的全部费用并赔偿由此给甲方造成的全部损失。</w:t>
      </w:r>
    </w:p>
    <w:p w14:paraId="70F4D3C6">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6．乙方应当支付给甲方的违约金、赔偿金，甲方有权从未支付的货款中扣除，违约金不足以赔偿给甲方造成损失的，甲方仍有权向乙方进行追偿。</w:t>
      </w:r>
    </w:p>
    <w:p w14:paraId="4524662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7．按本合同约定甲方选择解除合同的，</w:t>
      </w:r>
      <w:r>
        <w:rPr>
          <w:rFonts w:hint="eastAsia" w:ascii="微软雅黑" w:hAnsi="微软雅黑" w:eastAsia="微软雅黑" w:cs="微软雅黑"/>
          <w:color w:val="000000" w:themeColor="text1"/>
          <w:sz w:val="24"/>
          <w:szCs w:val="24"/>
          <w:lang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w:t>
      </w:r>
      <w:r>
        <w:rPr>
          <w:rFonts w:hint="eastAsia" w:ascii="微软雅黑" w:hAnsi="微软雅黑" w:eastAsia="微软雅黑" w:cs="微软雅黑"/>
          <w:color w:val="000000" w:themeColor="text1"/>
          <w:sz w:val="24"/>
          <w:szCs w:val="24"/>
          <w:lang w:eastAsia="zh-Hans"/>
          <w14:textFill>
            <w14:solidFill>
              <w14:schemeClr w14:val="tx1"/>
            </w14:solidFill>
          </w14:textFill>
        </w:rPr>
        <w:t>确认解除的效力。</w:t>
      </w:r>
    </w:p>
    <w:p w14:paraId="4E9D7A0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8．乙方违反本合同约定或法律规定的，应当赔偿给甲方造成的全部损失，包括但不限于直接损失、预期利益损失、甲方向第三人支付的违约金、赔偿金及甲方为索赔支出的诉讼费、律师费、公证费、保全费、担保费、鉴定费、评估费等全部费用。</w:t>
      </w:r>
    </w:p>
    <w:p w14:paraId="1B039B1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9.甲方未按本合同约定向乙方支付费用的，每逾期一天应向乙方支付应付未付金额万分之五的违约金。</w:t>
      </w:r>
    </w:p>
    <w:p w14:paraId="5AD5B47E">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p>
    <w:p w14:paraId="47D4A8F2">
      <w:pPr>
        <w:spacing w:line="360" w:lineRule="auto"/>
        <w:ind w:firstLine="480" w:firstLineChars="200"/>
        <w:rPr>
          <w:rFonts w:hint="eastAsia" w:ascii="微软雅黑" w:hAnsi="微软雅黑" w:eastAsia="微软雅黑" w:cs="微软雅黑"/>
          <w:b/>
          <w:bCs/>
          <w:color w:val="000000" w:themeColor="text1"/>
          <w:sz w:val="24"/>
          <w:szCs w:val="24"/>
          <w14:textFill>
            <w14:solidFill>
              <w14:schemeClr w14:val="tx1"/>
            </w14:solidFill>
          </w14:textFill>
        </w:rPr>
      </w:pPr>
      <w:r>
        <w:rPr>
          <w:rFonts w:hint="eastAsia" w:ascii="微软雅黑" w:hAnsi="微软雅黑" w:eastAsia="微软雅黑" w:cs="微软雅黑"/>
          <w:b/>
          <w:bCs/>
          <w:color w:val="000000" w:themeColor="text1"/>
          <w:sz w:val="24"/>
          <w:szCs w:val="24"/>
          <w14:textFill>
            <w14:solidFill>
              <w14:schemeClr w14:val="tx1"/>
            </w14:solidFill>
          </w14:textFill>
        </w:rPr>
        <w:t>十二、其他约定</w:t>
      </w:r>
    </w:p>
    <w:p w14:paraId="64EC816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1．本合同一式 陆份，经甲乙双方法定代表人或授权代表签字并加盖公司公章后生效。甲方执 肆份、乙方执 贰份，均具有同等法律效力。</w:t>
      </w:r>
    </w:p>
    <w:p w14:paraId="3993D25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2．本合同签订后对合同条款的修改或对未尽事宜的补充，经双方协商一致后签订书面协议方为有效，补充协议与本合同具有同等法律效力。</w:t>
      </w:r>
    </w:p>
    <w:p w14:paraId="1061C36B">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3．凡因本合同引起的或与本合同有关的任何争议，均提交</w:t>
      </w:r>
      <w:r>
        <w:rPr>
          <w:rFonts w:hint="eastAsia" w:ascii="微软雅黑" w:hAnsi="微软雅黑" w:eastAsia="微软雅黑" w:cs="微软雅黑"/>
          <w:color w:val="000000" w:themeColor="text1"/>
          <w:sz w:val="24"/>
          <w:szCs w:val="24"/>
          <w:lang w:eastAsia="zh-CN"/>
          <w14:textFill>
            <w14:solidFill>
              <w14:schemeClr w14:val="tx1"/>
            </w14:solidFill>
          </w14:textFill>
        </w:rPr>
        <w:t>蚌埠</w:t>
      </w:r>
      <w:r>
        <w:rPr>
          <w:rFonts w:hint="eastAsia" w:ascii="微软雅黑" w:hAnsi="微软雅黑" w:eastAsia="微软雅黑" w:cs="微软雅黑"/>
          <w:color w:val="000000" w:themeColor="text1"/>
          <w:sz w:val="24"/>
          <w:szCs w:val="24"/>
          <w14:textFill>
            <w14:solidFill>
              <w14:schemeClr w14:val="tx1"/>
            </w14:solidFill>
          </w14:textFill>
        </w:rPr>
        <w:t>仲裁委员会，按照其届时有效的仲裁规则仲裁解决。仲裁裁决是终局的，对双方均有约束力。</w:t>
      </w:r>
    </w:p>
    <w:p w14:paraId="0FC4F49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4．</w:t>
      </w: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送达地址以及送达条款</w:t>
      </w:r>
    </w:p>
    <w:p w14:paraId="11E77210">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送达地址以及方式</w:t>
      </w:r>
    </w:p>
    <w:p w14:paraId="770F8E4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（一）送达地址</w:t>
      </w:r>
    </w:p>
    <w:p w14:paraId="2AD30C8C">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甲方确认送达地址如下：</w:t>
      </w:r>
    </w:p>
    <w:p w14:paraId="7D9511F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5ADF89B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4CB3593F">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177393F7">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4800288C">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甲方电子送达方式如下：</w:t>
      </w:r>
    </w:p>
    <w:p w14:paraId="49205714">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78B97A65">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7E99769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6068640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            。</w:t>
      </w:r>
    </w:p>
    <w:p w14:paraId="1FD2A8F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p>
    <w:p w14:paraId="6FA9546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乙方确认送达地址如下：</w:t>
      </w:r>
    </w:p>
    <w:p w14:paraId="4E174470">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地址：    省    市    区/县    路    号，</w:t>
      </w:r>
    </w:p>
    <w:p w14:paraId="6DA95ADF">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邮编：            ，</w:t>
      </w:r>
    </w:p>
    <w:p w14:paraId="1510033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联系人：      ，</w:t>
      </w:r>
    </w:p>
    <w:p w14:paraId="2258258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联系电话：      -            。</w:t>
      </w:r>
    </w:p>
    <w:p w14:paraId="2AA49000">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乙方电子送达方式如下：</w:t>
      </w:r>
    </w:p>
    <w:p w14:paraId="06350F51">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手机短信：                  </w:t>
      </w:r>
    </w:p>
    <w:p w14:paraId="3C995C8F">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传真：      -            </w:t>
      </w:r>
    </w:p>
    <w:p w14:paraId="6280B463">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即时通讯账号（微信号）：                  </w:t>
      </w:r>
    </w:p>
    <w:p w14:paraId="7E951D04">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电子邮箱：</w:t>
      </w:r>
    </w:p>
    <w:p w14:paraId="3987279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（二）送达方式</w:t>
      </w:r>
    </w:p>
    <w:p w14:paraId="1107103F">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 xml:space="preserve"> 双方同意，本合同项下的通知、函件、诉讼文书等文件，以下列方式送达对方：</w:t>
      </w:r>
    </w:p>
    <w:p w14:paraId="5706F76F">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直接送达：将文件送至对方指定的送达地址，视为已送达；</w:t>
      </w:r>
    </w:p>
    <w:p w14:paraId="414F4028">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邮寄送达：将文件通过挂号信、特快专递等方式寄至对方指定的送达地址，以邮戳日期为准，视为已送达；</w:t>
      </w:r>
    </w:p>
    <w:p w14:paraId="185D086A">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电子送达：将文件通过电子邮件、短信、微信等方式发送至对方指定的电子邮箱、手机号码等，发送成功即视为已送达。</w:t>
      </w:r>
    </w:p>
    <w:p w14:paraId="441881BB">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送达条款</w:t>
      </w:r>
    </w:p>
    <w:p w14:paraId="7B35B7C0">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（一）本送达条款适用于合同履行履行期间及合同纠纷解决过程中的所有文件送达。</w:t>
      </w:r>
    </w:p>
    <w:p w14:paraId="56D73244">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8B03BBD">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（三）双方在合同履行过程中由双方共同明示或默示确认的合同约定外的送达地址和联系方式不影响送达效力。</w:t>
      </w:r>
    </w:p>
    <w:p w14:paraId="3BF07DC1">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14152284">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09D9EDC9">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仲裁委员会有权依据法律和适时有效的仲裁规则规定进行送达，法律与仲裁规则规定程序完成之日，视为送达成功：</w:t>
      </w:r>
    </w:p>
    <w:p w14:paraId="0883E49B">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擅自变更送达地址及信息且未及时通知对方的；</w:t>
      </w:r>
    </w:p>
    <w:p w14:paraId="46E5C4B5">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送达地址与信息同工商登记信息不一致且未及时更改的；</w:t>
      </w:r>
    </w:p>
    <w:p w14:paraId="77B828A5">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故意不接收</w:t>
      </w:r>
      <w:r>
        <w:rPr>
          <w:rFonts w:hint="eastAsia" w:ascii="微软雅黑" w:hAnsi="微软雅黑" w:eastAsia="微软雅黑" w:cs="微软雅黑"/>
          <w:color w:val="000000" w:themeColor="text1"/>
          <w:kern w:val="0"/>
          <w:sz w:val="24"/>
          <w:szCs w:val="24"/>
          <w:lang w:eastAsia="zh-CN" w:bidi="ar"/>
          <w14:textFill>
            <w14:solidFill>
              <w14:schemeClr w14:val="tx1"/>
            </w14:solidFill>
          </w14:textFill>
        </w:rPr>
        <w:t>蚌埠</w:t>
      </w:r>
      <w:r>
        <w:rPr>
          <w:rFonts w:hint="eastAsia" w:ascii="微软雅黑" w:hAnsi="微软雅黑" w:eastAsia="微软雅黑" w:cs="微软雅黑"/>
          <w:color w:val="000000" w:themeColor="text1"/>
          <w:kern w:val="0"/>
          <w:sz w:val="24"/>
          <w:szCs w:val="24"/>
          <w:lang w:bidi="ar"/>
          <w14:textFill>
            <w14:solidFill>
              <w14:schemeClr w14:val="tx1"/>
            </w14:solidFill>
          </w14:textFill>
        </w:rPr>
        <w:t>仲裁委员会送达文书的；</w:t>
      </w:r>
    </w:p>
    <w:p w14:paraId="6EFC3A6C">
      <w:pPr>
        <w:spacing w:line="360" w:lineRule="auto"/>
        <w:ind w:firstLine="480" w:firstLineChars="200"/>
        <w:rPr>
          <w:rFonts w:hint="eastAsia" w:ascii="微软雅黑" w:hAnsi="微软雅黑" w:eastAsia="微软雅黑" w:cs="微软雅黑"/>
          <w:color w:val="000000" w:themeColor="text1"/>
          <w:kern w:val="0"/>
          <w:sz w:val="24"/>
          <w:szCs w:val="24"/>
          <w:lang w:bidi="ar"/>
          <w14:textFill>
            <w14:solidFill>
              <w14:schemeClr w14:val="tx1"/>
            </w14:solidFill>
          </w14:textFill>
        </w:rPr>
      </w:pPr>
      <w:r>
        <w:rPr>
          <w:rFonts w:hint="eastAsia" w:ascii="微软雅黑" w:hAnsi="微软雅黑" w:eastAsia="微软雅黑" w:cs="微软雅黑"/>
          <w:color w:val="000000" w:themeColor="text1"/>
          <w:kern w:val="0"/>
          <w:sz w:val="24"/>
          <w:szCs w:val="24"/>
          <w:lang w:bidi="ar"/>
          <w14:textFill>
            <w14:solidFill>
              <w14:schemeClr w14:val="tx1"/>
            </w14:solidFill>
          </w14:textFill>
        </w:rPr>
        <w:t>因接收方过错造成无法正常送达的其他行为。</w:t>
      </w:r>
    </w:p>
    <w:p w14:paraId="058B40FE">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4B8A7F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（以下无正文）</w:t>
      </w:r>
    </w:p>
    <w:p w14:paraId="05C49EF8">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甲方(公章)：</w:t>
      </w:r>
    </w:p>
    <w:p w14:paraId="064F6FD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17F717E9">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09349194">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38270F0">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乙方(公章)：</w:t>
      </w:r>
    </w:p>
    <w:p w14:paraId="0F82C8DD">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w:t>
      </w:r>
    </w:p>
    <w:p w14:paraId="7C83C245">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w:t>
      </w:r>
    </w:p>
    <w:p w14:paraId="18127B71">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431C9282">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合同签订时间：         年    月    日</w:t>
      </w:r>
    </w:p>
    <w:p w14:paraId="71B962A7">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签订地点：</w:t>
      </w:r>
    </w:p>
    <w:p w14:paraId="2DFC4E0B">
      <w:pPr>
        <w:rPr>
          <w:rFonts w:hint="eastAsia" w:ascii="微软雅黑" w:hAnsi="微软雅黑" w:eastAsia="微软雅黑" w:cs="微软雅黑"/>
          <w:color w:val="000000" w:themeColor="text1"/>
          <w:sz w:val="24"/>
          <w:szCs w:val="24"/>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52001"/>
    </w:sdtPr>
    <w:sdtContent>
      <w:sdt>
        <w:sdtPr>
          <w:id w:val="171357217"/>
        </w:sdtPr>
        <w:sdtContent>
          <w:p w14:paraId="1DD34B56">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11</w:t>
            </w:r>
            <w:r>
              <w:rPr>
                <w:b/>
                <w:sz w:val="24"/>
                <w:szCs w:val="24"/>
              </w:rPr>
              <w:fldChar w:fldCharType="end"/>
            </w:r>
          </w:p>
        </w:sdtContent>
      </w:sdt>
    </w:sdtContent>
  </w:sdt>
  <w:p w14:paraId="57B1DC61">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0664E"/>
    <w:rsid w:val="001334DE"/>
    <w:rsid w:val="005C37CC"/>
    <w:rsid w:val="00EB772E"/>
    <w:rsid w:val="02156903"/>
    <w:rsid w:val="02807D22"/>
    <w:rsid w:val="1C68244A"/>
    <w:rsid w:val="1E10664E"/>
    <w:rsid w:val="23FA0C38"/>
    <w:rsid w:val="34F04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5222</Words>
  <Characters>5237</Characters>
  <Lines>40</Lines>
  <Paragraphs>11</Paragraphs>
  <TotalTime>2</TotalTime>
  <ScaleCrop>false</ScaleCrop>
  <LinksUpToDate>false</LinksUpToDate>
  <CharactersWithSpaces>5570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2021-05-28T04:07:00Z</dcterms:created>
  <dc:creator>真宇律师</dc:creator>
  <cp:lastModifiedBy>豪</cp:lastModifiedBy>
  <dcterms:modified xsi:type="dcterms:W3CDTF">2026-03-22T06:40:21Z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E032CF2A060D481695E4FD0F3ABA0486</vt:lpwstr>
  </property>
  <property fmtid="{D5CDD505-2E9C-101B-9397-08002B2CF9AE}" pid="4" name="KSOTemplateDocerSaveRecord">
    <vt:lpwstr>eyJoZGlkIjoiNTg0MzMyNGJiMDEzODc5ODNlMGVjODViOWRkZjg1MDgiLCJ1c2VySWQiOiIxMjc2Mzc3NjgxIn0=</vt:lpwstr>
  </property>
</Properties>
</file>