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7D6436">
      <w:pPr>
        <w:pStyle w:val="3"/>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度假村</w:t>
      </w:r>
      <w:r>
        <w:rPr>
          <w:rFonts w:hint="eastAsia" w:ascii="微软雅黑" w:hAnsi="微软雅黑" w:eastAsia="微软雅黑" w:cs="微软雅黑"/>
          <w:sz w:val="36"/>
          <w:szCs w:val="36"/>
        </w:rPr>
        <w:t>商品房购销合同</w:t>
      </w:r>
    </w:p>
    <w:bookmarkEnd w:id="0"/>
    <w:p w14:paraId="6E297BE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14D8D307">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代表：</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65465579">
      <w:pPr>
        <w:wordWrap w:val="0"/>
        <w:spacing w:line="360" w:lineRule="auto"/>
        <w:ind w:firstLine="480" w:firstLineChars="200"/>
        <w:rPr>
          <w:rFonts w:hint="eastAsia" w:ascii="微软雅黑" w:hAnsi="微软雅黑" w:eastAsia="微软雅黑" w:cs="微软雅黑"/>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66E7ED16">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电话：</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10C8D2DC">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开户银行：</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7B266DE9">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账号</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6EA846D4">
      <w:pPr>
        <w:wordWrap w:val="0"/>
        <w:spacing w:before="312" w:beforeLines="10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乙方：</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2BC2C4EC">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代表：</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6291DE8A">
      <w:pPr>
        <w:wordWrap w:val="0"/>
        <w:spacing w:line="360" w:lineRule="auto"/>
        <w:ind w:firstLine="480" w:firstLineChars="200"/>
        <w:rPr>
          <w:rFonts w:hint="eastAsia" w:ascii="微软雅黑" w:hAnsi="微软雅黑" w:eastAsia="微软雅黑" w:cs="微软雅黑"/>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43ECD39D">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电话：</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3DACA0E8">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开户银行：</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5D569BD9">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账号</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p>
    <w:p w14:paraId="0285F298">
      <w:pPr>
        <w:wordWrap w:val="0"/>
        <w:spacing w:before="312" w:beforeLines="100" w:after="312" w:afterLines="10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甲乙双方为购销</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度假</w:t>
      </w:r>
      <w:r>
        <w:rPr>
          <w:rFonts w:hint="eastAsia" w:ascii="微软雅黑" w:hAnsi="微软雅黑" w:eastAsia="微软雅黑" w:cs="微软雅黑"/>
          <w:color w:val="000000" w:themeColor="text1"/>
          <w:sz w:val="24"/>
          <w:szCs w:val="24"/>
          <w14:textFill>
            <w14:solidFill>
              <w14:schemeClr w14:val="tx1"/>
            </w14:solidFill>
          </w14:textFill>
        </w:rPr>
        <w:t>村商品房事宜，经</w:t>
      </w:r>
      <w:r>
        <w:rPr>
          <w:rFonts w:hint="eastAsia" w:ascii="微软雅黑" w:hAnsi="微软雅黑" w:eastAsia="微软雅黑" w:cs="微软雅黑"/>
          <w:color w:val="000000" w:themeColor="text1"/>
          <w:sz w:val="24"/>
          <w:szCs w:val="24"/>
          <w14:textFill>
            <w14:solidFill>
              <w14:schemeClr w14:val="tx1"/>
            </w14:solidFill>
          </w14:textFill>
        </w:rPr>
        <w:t>协商</w:t>
      </w:r>
      <w:r>
        <w:rPr>
          <w:rFonts w:hint="eastAsia" w:ascii="微软雅黑" w:hAnsi="微软雅黑" w:eastAsia="微软雅黑" w:cs="微软雅黑"/>
          <w:color w:val="000000" w:themeColor="text1"/>
          <w:sz w:val="24"/>
          <w:szCs w:val="24"/>
          <w14:textFill>
            <w14:solidFill>
              <w14:schemeClr w14:val="tx1"/>
            </w14:solidFill>
          </w14:textFill>
        </w:rPr>
        <w:t>签订合同条款如下，以便共同遵守。</w:t>
      </w:r>
    </w:p>
    <w:p w14:paraId="0C424A34">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一、乙方向甲方购买</w:t>
      </w:r>
      <w:r>
        <w:rPr>
          <w:rFonts w:hint="eastAsia" w:ascii="微软雅黑" w:hAnsi="微软雅黑" w:eastAsia="微软雅黑" w:cs="微软雅黑"/>
          <w:color w:val="000000" w:themeColor="text1"/>
          <w:sz w:val="24"/>
          <w:szCs w:val="24"/>
          <w14:textFill>
            <w14:solidFill>
              <w14:schemeClr w14:val="tx1"/>
            </w14:solidFill>
          </w14:textFill>
        </w:rPr>
        <w:t>坐落于</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度假</w:t>
      </w:r>
      <w:r>
        <w:rPr>
          <w:rFonts w:hint="eastAsia" w:ascii="微软雅黑" w:hAnsi="微软雅黑" w:eastAsia="微软雅黑" w:cs="微软雅黑"/>
          <w:color w:val="000000" w:themeColor="text1"/>
          <w:sz w:val="24"/>
          <w:szCs w:val="24"/>
          <w14:textFill>
            <w14:solidFill>
              <w14:schemeClr w14:val="tx1"/>
            </w14:solidFill>
          </w14:textFill>
        </w:rPr>
        <w:t>村</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组团内</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楼房</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栋。建筑面积为</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平方米。其面积以</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省《建筑面积计算规则》为准。</w:t>
      </w:r>
    </w:p>
    <w:p w14:paraId="6D690B43">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二、商品房售价为人民币</w:t>
      </w:r>
      <w:r>
        <w:rPr>
          <w:rFonts w:hint="eastAsia" w:ascii="微软雅黑" w:hAnsi="微软雅黑" w:eastAsia="微软雅黑" w:cs="微软雅黑"/>
          <w:color w:val="000000" w:themeColor="text1"/>
          <w:sz w:val="24"/>
          <w:szCs w:val="24"/>
          <w14:textFill>
            <w14:solidFill>
              <w14:schemeClr w14:val="tx1"/>
            </w14:solidFill>
          </w14:textFill>
        </w:rPr>
        <w:t>（大写）</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w:t>
      </w:r>
      <w:r>
        <w:rPr>
          <w:rFonts w:hint="eastAsia" w:ascii="微软雅黑" w:hAnsi="微软雅黑" w:eastAsia="微软雅黑" w:cs="微软雅黑"/>
          <w:color w:val="000000" w:themeColor="text1"/>
          <w:sz w:val="24"/>
          <w:szCs w:val="24"/>
          <w14:textFill>
            <w14:solidFill>
              <w14:schemeClr w14:val="tx1"/>
            </w14:solidFill>
          </w14:textFill>
        </w:rPr>
        <w:t>整（小写：</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w:t>
      </w:r>
      <w:r>
        <w:rPr>
          <w:rFonts w:hint="eastAsia" w:ascii="微软雅黑" w:hAnsi="微软雅黑" w:eastAsia="微软雅黑" w:cs="微软雅黑"/>
          <w:color w:val="000000" w:themeColor="text1"/>
          <w:sz w:val="24"/>
          <w:szCs w:val="24"/>
          <w14:textFill>
            <w14:solidFill>
              <w14:schemeClr w14:val="tx1"/>
            </w14:solidFill>
          </w14:textFill>
        </w:rPr>
        <w:t>。其中包括配套的配电室、临时锅炉房、道路、绿化等工程设施的费用，但不包括建筑税和公证费。</w:t>
      </w:r>
    </w:p>
    <w:p w14:paraId="5BE7E2E0">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三、付款办法：</w:t>
      </w:r>
    </w:p>
    <w:p w14:paraId="7F8D3A7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预购房屋按房屋暂定价先付购房款</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％，计人民币</w:t>
      </w:r>
      <w:r>
        <w:rPr>
          <w:rFonts w:hint="eastAsia" w:ascii="微软雅黑" w:hAnsi="微软雅黑" w:eastAsia="微软雅黑" w:cs="微软雅黑"/>
          <w:color w:val="000000" w:themeColor="text1"/>
          <w:sz w:val="24"/>
          <w:szCs w:val="24"/>
          <w14:textFill>
            <w14:solidFill>
              <w14:schemeClr w14:val="tx1"/>
            </w14:solidFill>
          </w14:textFill>
        </w:rPr>
        <w:t>（大写）</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w:t>
      </w:r>
      <w:r>
        <w:rPr>
          <w:rFonts w:hint="eastAsia" w:ascii="微软雅黑" w:hAnsi="微软雅黑" w:eastAsia="微软雅黑" w:cs="微软雅黑"/>
          <w:color w:val="000000" w:themeColor="text1"/>
          <w:sz w:val="24"/>
          <w:szCs w:val="24"/>
          <w14:textFill>
            <w14:solidFill>
              <w14:schemeClr w14:val="tx1"/>
            </w14:solidFill>
          </w14:textFill>
        </w:rPr>
        <w:t>整（小写：</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w:t>
      </w:r>
      <w:r>
        <w:rPr>
          <w:rFonts w:hint="eastAsia" w:ascii="微软雅黑" w:hAnsi="微软雅黑" w:eastAsia="微软雅黑" w:cs="微软雅黑"/>
          <w:color w:val="000000" w:themeColor="text1"/>
          <w:sz w:val="24"/>
          <w:szCs w:val="24"/>
          <w14:textFill>
            <w14:solidFill>
              <w14:schemeClr w14:val="tx1"/>
            </w14:solidFill>
          </w14:textFill>
        </w:rPr>
        <w:t>，（其中</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％为定金）。待房屋建设工作量完成一半时再预付</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％。房屋竣工交付乙方时按实际售价结清尾款。房屋建筑税款由甲方代收代缴。</w:t>
      </w:r>
    </w:p>
    <w:p w14:paraId="444C2157">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四、交房时间：</w:t>
      </w:r>
    </w:p>
    <w:p w14:paraId="506CC3F4">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甲方应于</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月将验收合格的房屋交付乙方。</w:t>
      </w:r>
    </w:p>
    <w:p w14:paraId="0DBE93C9">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五、乙方在</w:t>
      </w:r>
      <w:r>
        <w:rPr>
          <w:rFonts w:hint="eastAsia" w:ascii="微软雅黑" w:hAnsi="微软雅黑" w:eastAsia="微软雅黑" w:cs="微软雅黑"/>
          <w:color w:val="000000" w:themeColor="text1"/>
          <w:sz w:val="24"/>
          <w:szCs w:val="24"/>
          <w14:textFill>
            <w14:solidFill>
              <w14:schemeClr w14:val="tx1"/>
            </w14:solidFill>
          </w14:textFill>
        </w:rPr>
        <w:t>收到</w:t>
      </w:r>
      <w:r>
        <w:rPr>
          <w:rFonts w:hint="eastAsia" w:ascii="微软雅黑" w:hAnsi="微软雅黑" w:eastAsia="微软雅黑" w:cs="微软雅黑"/>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收房</w:t>
      </w:r>
      <w:r>
        <w:rPr>
          <w:rFonts w:hint="eastAsia" w:ascii="微软雅黑" w:hAnsi="微软雅黑" w:eastAsia="微软雅黑" w:cs="微软雅黑"/>
          <w:color w:val="000000" w:themeColor="text1"/>
          <w:sz w:val="24"/>
          <w:szCs w:val="24"/>
          <w14:textFill>
            <w14:solidFill>
              <w14:schemeClr w14:val="tx1"/>
            </w14:solidFill>
          </w14:textFill>
        </w:rPr>
        <w:t>通知后的</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r>
        <w:rPr>
          <w:rFonts w:hint="eastAsia" w:ascii="微软雅黑" w:hAnsi="微软雅黑" w:eastAsia="微软雅黑" w:cs="微软雅黑"/>
          <w:color w:val="000000" w:themeColor="text1"/>
          <w:sz w:val="24"/>
          <w:szCs w:val="24"/>
          <w14:textFill>
            <w14:solidFill>
              <w14:schemeClr w14:val="tx1"/>
            </w14:solidFill>
          </w14:textFill>
        </w:rPr>
        <w:t>内将购房款结清。届时乙方若不能验收接管时，须委托甲方代管，并付甲方代管费（按房价的</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％/日计取）。</w:t>
      </w:r>
    </w:p>
    <w:p w14:paraId="7DD15E38">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六、乙方从接管所购房屋之日起，甲方按照国家规定，对房屋质量问题实行保修（土建工程保修一年，水电半年，暖气一个采暖期）。</w:t>
      </w:r>
    </w:p>
    <w:p w14:paraId="5C6E61DE">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七、违约责任：</w:t>
      </w:r>
    </w:p>
    <w:p w14:paraId="023B8A9E">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1.本合同生效后，如乙方违约，乙方已缴定金不退；如甲方违约，则应双倍退还定金。</w:t>
      </w:r>
    </w:p>
    <w:p w14:paraId="52941C23">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2.甲方如不能按期交付乙方所购房屋时（除人力不可抗拒原因外），每逾期一天，甲方向乙方承担应交房屋售价</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％的</w:t>
      </w:r>
      <w:r>
        <w:rPr>
          <w:rFonts w:hint="eastAsia" w:ascii="微软雅黑" w:hAnsi="微软雅黑" w:eastAsia="微软雅黑" w:cs="微软雅黑"/>
          <w:color w:val="000000" w:themeColor="text1"/>
          <w:sz w:val="24"/>
          <w:szCs w:val="24"/>
          <w14:textFill>
            <w14:solidFill>
              <w14:schemeClr w14:val="tx1"/>
            </w14:solidFill>
          </w14:textFill>
        </w:rPr>
        <w:t>违约金</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逾期超过</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天，乙方有权解除合同。</w:t>
      </w:r>
    </w:p>
    <w:p w14:paraId="79726373">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八、乙方需要安装电话，由甲方解决，费用由乙方承担。</w:t>
      </w:r>
    </w:p>
    <w:p w14:paraId="11179429">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九、乙方对所购房屋享有所有权，但必须遵守国家有关房屋管理规定及</w:t>
      </w:r>
      <w:r>
        <w:rPr>
          <w:rFonts w:hint="eastAsia" w:ascii="微软雅黑" w:hAnsi="微软雅黑" w:eastAsia="微软雅黑" w:cs="微软雅黑"/>
          <w:color w:val="000000" w:themeColor="text1"/>
          <w:sz w:val="24"/>
          <w:szCs w:val="24"/>
          <w14:textFill>
            <w14:solidFill>
              <w14:schemeClr w14:val="tx1"/>
            </w14:solidFill>
          </w14:textFill>
        </w:rPr>
        <w:t>度假</w:t>
      </w:r>
      <w:r>
        <w:rPr>
          <w:rFonts w:hint="eastAsia" w:ascii="微软雅黑" w:hAnsi="微软雅黑" w:eastAsia="微软雅黑" w:cs="微软雅黑"/>
          <w:color w:val="000000" w:themeColor="text1"/>
          <w:sz w:val="24"/>
          <w:szCs w:val="24"/>
          <w14:textFill>
            <w14:solidFill>
              <w14:schemeClr w14:val="tx1"/>
            </w14:solidFill>
          </w14:textFill>
        </w:rPr>
        <w:t>村管理办法。</w:t>
      </w:r>
    </w:p>
    <w:p w14:paraId="7778A584">
      <w:pPr>
        <w:wordWrap w:val="0"/>
        <w:spacing w:line="360" w:lineRule="auto"/>
        <w:ind w:firstLine="480" w:firstLineChars="200"/>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十</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争议解决方式</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：凡因本合同引起的或与本合同有关的任何争议，均提交蚌埠仲裁委员会，按照该会的仲裁规则进行仲裁。仲裁裁决是终局的，对双方均有约束力。</w:t>
      </w:r>
    </w:p>
    <w:p w14:paraId="7CDA8677">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十一</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送达地址以及送达条款：</w:t>
      </w:r>
    </w:p>
    <w:p w14:paraId="03545C3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送达地址以及方式</w:t>
      </w:r>
    </w:p>
    <w:p w14:paraId="532D6FC8">
      <w:pPr>
        <w:wordWrap w:val="0"/>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1.1</w:t>
      </w:r>
      <w:r>
        <w:rPr>
          <w:rFonts w:hint="eastAsia" w:ascii="微软雅黑" w:hAnsi="微软雅黑" w:eastAsia="微软雅黑" w:cs="微软雅黑"/>
          <w:color w:val="000000" w:themeColor="text1"/>
          <w:sz w:val="24"/>
          <w:szCs w:val="24"/>
          <w:lang w:eastAsia="zh-CN"/>
          <w14:textFill>
            <w14:solidFill>
              <w14:schemeClr w14:val="tx1"/>
            </w14:solidFill>
          </w14:textFill>
        </w:rPr>
        <w:t>送达地址</w:t>
      </w:r>
    </w:p>
    <w:p w14:paraId="6C71D5FD">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甲方确认送达地址如下：</w:t>
      </w:r>
    </w:p>
    <w:p w14:paraId="59C7091F">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    省    市    区/县    路    号，</w:t>
      </w:r>
    </w:p>
    <w:p w14:paraId="38AE8801">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邮编：            ，</w:t>
      </w:r>
    </w:p>
    <w:p w14:paraId="2E6F7030">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联系人：      ，</w:t>
      </w:r>
    </w:p>
    <w:p w14:paraId="46FD866C">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      -            。</w:t>
      </w:r>
    </w:p>
    <w:p w14:paraId="51D5140D">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甲方电子送达方式如下：</w:t>
      </w:r>
    </w:p>
    <w:p w14:paraId="38773FCC">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手机短信：                  </w:t>
      </w:r>
    </w:p>
    <w:p w14:paraId="7EC6DF9C">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传真：      -            </w:t>
      </w:r>
    </w:p>
    <w:p w14:paraId="107B2EAB">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即时通讯账号（微信号）：                  </w:t>
      </w:r>
    </w:p>
    <w:p w14:paraId="47D4D690">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电子邮箱：            。</w:t>
      </w:r>
    </w:p>
    <w:p w14:paraId="6E2BBC01">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乙方确认送达地址如下：</w:t>
      </w:r>
    </w:p>
    <w:p w14:paraId="6487E98E">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    省    市    区/县    路    号，</w:t>
      </w:r>
    </w:p>
    <w:p w14:paraId="06703B69">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邮编：            ，</w:t>
      </w:r>
    </w:p>
    <w:p w14:paraId="5BD658FE">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联系人：      ，</w:t>
      </w:r>
    </w:p>
    <w:p w14:paraId="34488A7C">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      -            。</w:t>
      </w:r>
    </w:p>
    <w:p w14:paraId="3B5AEC8A">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乙方电子送达方式如下：</w:t>
      </w:r>
    </w:p>
    <w:p w14:paraId="5552C822">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手机短信：                  </w:t>
      </w:r>
    </w:p>
    <w:p w14:paraId="06AF9F6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传真：      -            </w:t>
      </w:r>
    </w:p>
    <w:p w14:paraId="1F87174C">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即时通讯账号（微信号）：                  </w:t>
      </w:r>
    </w:p>
    <w:p w14:paraId="21A0A74B">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电子邮箱：</w:t>
      </w:r>
    </w:p>
    <w:p w14:paraId="1AC5EF2B">
      <w:pPr>
        <w:wordWrap w:val="0"/>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1.2</w:t>
      </w:r>
      <w:r>
        <w:rPr>
          <w:rFonts w:hint="eastAsia" w:ascii="微软雅黑" w:hAnsi="微软雅黑" w:eastAsia="微软雅黑" w:cs="微软雅黑"/>
          <w:color w:val="000000" w:themeColor="text1"/>
          <w:sz w:val="24"/>
          <w:szCs w:val="24"/>
          <w:lang w:eastAsia="zh-CN"/>
          <w14:textFill>
            <w14:solidFill>
              <w14:schemeClr w14:val="tx1"/>
            </w14:solidFill>
          </w14:textFill>
        </w:rPr>
        <w:t>送达方式</w:t>
      </w:r>
    </w:p>
    <w:p w14:paraId="4A839FDF">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双方同意，本合同项下的通知、函件、诉讼文书等文件，以下列方式送达对方：</w:t>
      </w:r>
    </w:p>
    <w:p w14:paraId="1932BA3C">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直接送达：将文件送至对方指定的送达地址，视为已送达；</w:t>
      </w:r>
    </w:p>
    <w:p w14:paraId="7CDC743A">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邮寄送达：将文件通过挂号信、特快专递等方式寄至对方指定的送达地址，以邮戳日期为准，视为已送达；</w:t>
      </w:r>
    </w:p>
    <w:p w14:paraId="260CA025">
      <w:pPr>
        <w:wordWrap w:val="0"/>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（3）.</w:t>
      </w:r>
      <w:r>
        <w:rPr>
          <w:rFonts w:hint="eastAsia" w:ascii="微软雅黑" w:hAnsi="微软雅黑" w:eastAsia="微软雅黑" w:cs="微软雅黑"/>
          <w:color w:val="000000" w:themeColor="text1"/>
          <w:sz w:val="24"/>
          <w:szCs w:val="24"/>
          <w14:textFill>
            <w14:solidFill>
              <w14:schemeClr w14:val="tx1"/>
            </w14:solidFill>
          </w14:textFill>
        </w:rPr>
        <w:t>电子送达：将文件通过电子邮件、短信、微信等方式发送至对方指定的电子邮箱、手机号码等，发送成功即视为已送达。</w:t>
      </w:r>
    </w:p>
    <w:p w14:paraId="4984A67E">
      <w:pPr>
        <w:wordWrap w:val="0"/>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送达条款</w:t>
      </w:r>
    </w:p>
    <w:p w14:paraId="25F70241">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2.1</w:t>
      </w:r>
      <w:r>
        <w:rPr>
          <w:rFonts w:hint="eastAsia" w:ascii="微软雅黑" w:hAnsi="微软雅黑" w:eastAsia="微软雅黑" w:cs="微软雅黑"/>
          <w:color w:val="000000" w:themeColor="text1"/>
          <w:sz w:val="24"/>
          <w:szCs w:val="24"/>
          <w:lang w:eastAsia="zh-CN"/>
          <w14:textFill>
            <w14:solidFill>
              <w14:schemeClr w14:val="tx1"/>
            </w14:solidFill>
          </w14:textFill>
        </w:rPr>
        <w:t>本送达条款适用于合同履行履行期间及合同纠纷解决过程中的所有文件送达。</w:t>
      </w:r>
    </w:p>
    <w:p w14:paraId="3A548401">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2.2</w:t>
      </w:r>
      <w:r>
        <w:rPr>
          <w:rFonts w:hint="eastAsia" w:ascii="微软雅黑" w:hAnsi="微软雅黑" w:eastAsia="微软雅黑" w:cs="微软雅黑"/>
          <w:color w:val="000000" w:themeColor="text1"/>
          <w:sz w:val="24"/>
          <w:szCs w:val="24"/>
          <w14:textFill>
            <w14:solidFill>
              <w14:schemeClr w14:val="tx1"/>
            </w14:solidFill>
          </w14:textFill>
        </w:rPr>
        <w:t>法院、仲裁委员会、合同项下任何一方等主体有权依据本合</w:t>
      </w:r>
      <w:r>
        <w:rPr>
          <w:rFonts w:hint="eastAsia" w:ascii="微软雅黑" w:hAnsi="微软雅黑" w:eastAsia="微软雅黑" w:cs="微软雅黑"/>
          <w:color w:val="000000" w:themeColor="text1"/>
          <w:sz w:val="24"/>
          <w:szCs w:val="24"/>
          <w:lang w:eastAsia="zh-CN"/>
          <w14:textFill>
            <w14:solidFill>
              <w14:schemeClr w14:val="tx1"/>
            </w14:solidFill>
          </w14:textFill>
        </w:rPr>
        <w:t>同</w:t>
      </w:r>
      <w:r>
        <w:rPr>
          <w:rFonts w:hint="eastAsia" w:ascii="微软雅黑" w:hAnsi="微软雅黑" w:eastAsia="微软雅黑" w:cs="微软雅黑"/>
          <w:color w:val="000000" w:themeColor="text1"/>
          <w:sz w:val="24"/>
          <w:szCs w:val="24"/>
          <w14:textFill>
            <w14:solidFill>
              <w14:schemeClr w14:val="tx1"/>
            </w14:solidFill>
          </w14:textFill>
        </w:rPr>
        <w:t>约定地址向另一方发出的通知、信件、数据电文等内容，如因包括不限于搬迁、注销、更换地址等接收方原因造成无法送达的，不利后果由接收方自行承担。</w:t>
      </w:r>
    </w:p>
    <w:p w14:paraId="306512C2">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2.3</w:t>
      </w:r>
      <w:r>
        <w:rPr>
          <w:rFonts w:hint="eastAsia" w:ascii="微软雅黑" w:hAnsi="微软雅黑" w:eastAsia="微软雅黑" w:cs="微软雅黑"/>
          <w:color w:val="000000" w:themeColor="text1"/>
          <w:sz w:val="24"/>
          <w:szCs w:val="24"/>
          <w14:textFill>
            <w14:solidFill>
              <w14:schemeClr w14:val="tx1"/>
            </w14:solidFill>
          </w14:textFill>
        </w:rPr>
        <w:t>双方在合同履行过程中由双方共同明示或默示确认的合同约定外的送达地址和联系方式不影响送达效力。</w:t>
      </w:r>
    </w:p>
    <w:p w14:paraId="0D396D51">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2.4</w:t>
      </w:r>
      <w:r>
        <w:rPr>
          <w:rFonts w:hint="eastAsia" w:ascii="微软雅黑" w:hAnsi="微软雅黑" w:eastAsia="微软雅黑" w:cs="微软雅黑"/>
          <w:color w:val="000000" w:themeColor="text1"/>
          <w:sz w:val="24"/>
          <w:szCs w:val="24"/>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477FA60F">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2.5</w:t>
      </w:r>
      <w:r>
        <w:rPr>
          <w:rFonts w:hint="eastAsia" w:ascii="微软雅黑" w:hAnsi="微软雅黑" w:eastAsia="微软雅黑" w:cs="微软雅黑"/>
          <w:color w:val="000000" w:themeColor="text1"/>
          <w:sz w:val="24"/>
          <w:szCs w:val="24"/>
          <w14:textFill>
            <w14:solidFill>
              <w14:schemeClr w14:val="tx1"/>
            </w14:solidFill>
          </w14:textFill>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color w:val="000000" w:themeColor="text1"/>
          <w:sz w:val="24"/>
          <w:szCs w:val="24"/>
          <w:lang w:eastAsia="zh-CN"/>
          <w14:textFill>
            <w14:solidFill>
              <w14:schemeClr w14:val="tx1"/>
            </w14:solidFill>
          </w14:textFill>
        </w:rPr>
        <w:t>及时</w:t>
      </w:r>
      <w:r>
        <w:rPr>
          <w:rFonts w:hint="eastAsia" w:ascii="微软雅黑" w:hAnsi="微软雅黑" w:eastAsia="微软雅黑" w:cs="微软雅黑"/>
          <w:color w:val="000000" w:themeColor="text1"/>
          <w:sz w:val="24"/>
          <w:szCs w:val="24"/>
          <w14:textFill>
            <w14:solidFill>
              <w14:schemeClr w14:val="tx1"/>
            </w14:solidFill>
          </w14:textFill>
        </w:rPr>
        <w:t>通知的，发送方按照原约定方式送达，视为送达成功。</w:t>
      </w:r>
    </w:p>
    <w:p w14:paraId="15974EE0">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2.6</w:t>
      </w:r>
      <w:r>
        <w:rPr>
          <w:rFonts w:hint="eastAsia" w:ascii="微软雅黑" w:hAnsi="微软雅黑" w:eastAsia="微软雅黑" w:cs="微软雅黑"/>
          <w:color w:val="000000" w:themeColor="text1"/>
          <w:sz w:val="24"/>
          <w:szCs w:val="24"/>
          <w14:textFill>
            <w14:solidFill>
              <w14:schemeClr w14:val="tx1"/>
            </w14:solidFill>
          </w14:textFill>
        </w:rPr>
        <w:t>双方发生争议，关于裁判机构的送达文书，接收方存在以下行为之一的，</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仲裁委员会有权依据法律和适时有效的仲裁规则规定进行送达，法律与仲裁规则规定程序完成之日，视为送达成功：</w:t>
      </w:r>
    </w:p>
    <w:p w14:paraId="5544541E">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1</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.擅自变更送达地址及信息且未及时通知对方的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5DAC6784">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2</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.送达地址与信息同工商登记信息不一致且未及时更改的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6E800913">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3</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.故意不接收</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仲裁委员会送达文书的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6BA5442A">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4</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.因接收方过错造成无法正常送达的其他行为</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75643FCF">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十</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二</w:t>
      </w:r>
      <w:r>
        <w:rPr>
          <w:rFonts w:hint="eastAsia" w:ascii="微软雅黑" w:hAnsi="微软雅黑" w:eastAsia="微软雅黑" w:cs="微软雅黑"/>
          <w:color w:val="000000" w:themeColor="text1"/>
          <w:sz w:val="24"/>
          <w:szCs w:val="24"/>
          <w14:textFill>
            <w14:solidFill>
              <w14:schemeClr w14:val="tx1"/>
            </w14:solidFill>
          </w14:textFill>
        </w:rPr>
        <w:t>、本合同</w:t>
      </w:r>
      <w:r>
        <w:rPr>
          <w:rFonts w:hint="eastAsia" w:ascii="微软雅黑" w:hAnsi="微软雅黑" w:eastAsia="微软雅黑" w:cs="微软雅黑"/>
          <w:color w:val="000000" w:themeColor="text1"/>
          <w:sz w:val="24"/>
          <w:szCs w:val="24"/>
          <w14:textFill>
            <w14:solidFill>
              <w14:schemeClr w14:val="tx1"/>
            </w14:solidFill>
          </w14:textFill>
        </w:rPr>
        <w:t>壹</w:t>
      </w:r>
      <w:r>
        <w:rPr>
          <w:rFonts w:hint="eastAsia" w:ascii="微软雅黑" w:hAnsi="微软雅黑" w:eastAsia="微软雅黑" w:cs="微软雅黑"/>
          <w:color w:val="000000" w:themeColor="text1"/>
          <w:sz w:val="24"/>
          <w:szCs w:val="24"/>
          <w14:textFill>
            <w14:solidFill>
              <w14:schemeClr w14:val="tx1"/>
            </w14:solidFill>
          </w14:textFill>
        </w:rPr>
        <w:t>式</w:t>
      </w:r>
      <w:r>
        <w:rPr>
          <w:rFonts w:hint="eastAsia" w:ascii="微软雅黑" w:hAnsi="微软雅黑" w:eastAsia="微软雅黑" w:cs="微软雅黑"/>
          <w:color w:val="000000" w:themeColor="text1"/>
          <w:sz w:val="24"/>
          <w:szCs w:val="24"/>
          <w14:textFill>
            <w14:solidFill>
              <w14:schemeClr w14:val="tx1"/>
            </w14:solidFill>
          </w14:textFill>
        </w:rPr>
        <w:t>捌</w:t>
      </w:r>
      <w:r>
        <w:rPr>
          <w:rFonts w:hint="eastAsia" w:ascii="微软雅黑" w:hAnsi="微软雅黑" w:eastAsia="微软雅黑" w:cs="微软雅黑"/>
          <w:color w:val="000000" w:themeColor="text1"/>
          <w:sz w:val="24"/>
          <w:szCs w:val="24"/>
          <w14:textFill>
            <w14:solidFill>
              <w14:schemeClr w14:val="tx1"/>
            </w14:solidFill>
          </w14:textFill>
        </w:rPr>
        <w:t>份，正本</w:t>
      </w:r>
      <w:r>
        <w:rPr>
          <w:rFonts w:hint="eastAsia" w:ascii="微软雅黑" w:hAnsi="微软雅黑" w:eastAsia="微软雅黑" w:cs="微软雅黑"/>
          <w:color w:val="000000" w:themeColor="text1"/>
          <w:sz w:val="24"/>
          <w:szCs w:val="24"/>
          <w14:textFill>
            <w14:solidFill>
              <w14:schemeClr w14:val="tx1"/>
            </w14:solidFill>
          </w14:textFill>
        </w:rPr>
        <w:t>贰</w:t>
      </w:r>
      <w:r>
        <w:rPr>
          <w:rFonts w:hint="eastAsia" w:ascii="微软雅黑" w:hAnsi="微软雅黑" w:eastAsia="微软雅黑" w:cs="微软雅黑"/>
          <w:color w:val="000000" w:themeColor="text1"/>
          <w:sz w:val="24"/>
          <w:szCs w:val="24"/>
          <w14:textFill>
            <w14:solidFill>
              <w14:schemeClr w14:val="tx1"/>
            </w14:solidFill>
          </w14:textFill>
        </w:rPr>
        <w:t>份，双方各执</w:t>
      </w:r>
      <w:r>
        <w:rPr>
          <w:rFonts w:hint="eastAsia" w:ascii="微软雅黑" w:hAnsi="微软雅黑" w:eastAsia="微软雅黑" w:cs="微软雅黑"/>
          <w:color w:val="000000" w:themeColor="text1"/>
          <w:sz w:val="24"/>
          <w:szCs w:val="24"/>
          <w14:textFill>
            <w14:solidFill>
              <w14:schemeClr w14:val="tx1"/>
            </w14:solidFill>
          </w14:textFill>
        </w:rPr>
        <w:t>壹</w:t>
      </w:r>
      <w:r>
        <w:rPr>
          <w:rFonts w:hint="eastAsia" w:ascii="微软雅黑" w:hAnsi="微软雅黑" w:eastAsia="微软雅黑" w:cs="微软雅黑"/>
          <w:color w:val="000000" w:themeColor="text1"/>
          <w:sz w:val="24"/>
          <w:szCs w:val="24"/>
          <w14:textFill>
            <w14:solidFill>
              <w14:schemeClr w14:val="tx1"/>
            </w14:solidFill>
          </w14:textFill>
        </w:rPr>
        <w:t>份；副本</w:t>
      </w:r>
      <w:r>
        <w:rPr>
          <w:rFonts w:hint="eastAsia" w:ascii="微软雅黑" w:hAnsi="微软雅黑" w:eastAsia="微软雅黑" w:cs="微软雅黑"/>
          <w:color w:val="000000" w:themeColor="text1"/>
          <w:sz w:val="24"/>
          <w:szCs w:val="24"/>
          <w14:textFill>
            <w14:solidFill>
              <w14:schemeClr w14:val="tx1"/>
            </w14:solidFill>
          </w14:textFill>
        </w:rPr>
        <w:t>陆</w:t>
      </w:r>
      <w:r>
        <w:rPr>
          <w:rFonts w:hint="eastAsia" w:ascii="微软雅黑" w:hAnsi="微软雅黑" w:eastAsia="微软雅黑" w:cs="微软雅黑"/>
          <w:color w:val="000000" w:themeColor="text1"/>
          <w:sz w:val="24"/>
          <w:szCs w:val="24"/>
          <w14:textFill>
            <w14:solidFill>
              <w14:schemeClr w14:val="tx1"/>
            </w14:solidFill>
          </w14:textFill>
        </w:rPr>
        <w:t>份，双方各执</w:t>
      </w:r>
      <w:r>
        <w:rPr>
          <w:rFonts w:hint="eastAsia" w:ascii="微软雅黑" w:hAnsi="微软雅黑" w:eastAsia="微软雅黑" w:cs="微软雅黑"/>
          <w:color w:val="000000" w:themeColor="text1"/>
          <w:sz w:val="24"/>
          <w:szCs w:val="24"/>
          <w14:textFill>
            <w14:solidFill>
              <w14:schemeClr w14:val="tx1"/>
            </w14:solidFill>
          </w14:textFill>
        </w:rPr>
        <w:t>叁</w:t>
      </w:r>
      <w:r>
        <w:rPr>
          <w:rFonts w:hint="eastAsia" w:ascii="微软雅黑" w:hAnsi="微软雅黑" w:eastAsia="微软雅黑" w:cs="微软雅黑"/>
          <w:color w:val="000000" w:themeColor="text1"/>
          <w:sz w:val="24"/>
          <w:szCs w:val="24"/>
          <w14:textFill>
            <w14:solidFill>
              <w14:schemeClr w14:val="tx1"/>
            </w14:solidFill>
          </w14:textFill>
        </w:rPr>
        <w:t>份，正副本具有同等法律约束力。</w:t>
      </w:r>
    </w:p>
    <w:p w14:paraId="5F06A3FD">
      <w:pPr>
        <w:wordWrap w:val="0"/>
        <w:spacing w:after="312" w:afterLines="100"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十</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三</w:t>
      </w:r>
      <w:r>
        <w:rPr>
          <w:rFonts w:hint="eastAsia" w:ascii="微软雅黑" w:hAnsi="微软雅黑" w:eastAsia="微软雅黑" w:cs="微软雅黑"/>
          <w:color w:val="000000" w:themeColor="text1"/>
          <w:sz w:val="24"/>
          <w:szCs w:val="24"/>
          <w14:textFill>
            <w14:solidFill>
              <w14:schemeClr w14:val="tx1"/>
            </w14:solidFill>
          </w14:textFill>
        </w:rPr>
        <w:t>、本合同双方签字盖章经公证后生效。本合同未尽事宜另行协商。</w:t>
      </w:r>
    </w:p>
    <w:tbl>
      <w:tblPr>
        <w:tblStyle w:val="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22A55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0C6B51D0">
            <w:pPr>
              <w:wordWrap w:val="0"/>
              <w:spacing w:line="360" w:lineRule="auto"/>
              <w:rPr>
                <w:rFonts w:hint="eastAsia" w:ascii="微软雅黑" w:hAnsi="微软雅黑" w:eastAsia="微软雅黑" w:cs="微软雅黑"/>
                <w:color w:val="000000" w:themeColor="text1"/>
                <w:kern w:val="0"/>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甲方（盖章）：</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tc>
        <w:tc>
          <w:tcPr>
            <w:tcW w:w="2500" w:type="pct"/>
          </w:tcPr>
          <w:p w14:paraId="631DFBBE">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乙方（盖章）：</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tc>
      </w:tr>
      <w:tr w14:paraId="43811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542EB8C2">
            <w:pPr>
              <w:wordWrap w:val="0"/>
              <w:spacing w:line="360" w:lineRule="auto"/>
              <w:rPr>
                <w:rFonts w:hint="eastAsia" w:ascii="微软雅黑" w:hAnsi="微软雅黑" w:eastAsia="微软雅黑" w:cs="微软雅黑"/>
                <w:color w:val="000000" w:themeColor="text1"/>
                <w:kern w:val="0"/>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代表（签字）：</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tc>
        <w:tc>
          <w:tcPr>
            <w:tcW w:w="2500" w:type="pct"/>
          </w:tcPr>
          <w:p w14:paraId="53CB5756">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代表（签字）：</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tc>
      </w:tr>
      <w:tr w14:paraId="016EC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14:paraId="7F5FD47E">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年</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w:t>
            </w:r>
          </w:p>
        </w:tc>
        <w:tc>
          <w:tcPr>
            <w:tcW w:w="2500" w:type="pct"/>
          </w:tcPr>
          <w:p w14:paraId="0C03F7D7">
            <w:pPr>
              <w:wordWrap w:val="0"/>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年</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w:t>
            </w:r>
          </w:p>
        </w:tc>
      </w:tr>
    </w:tbl>
    <w:p w14:paraId="003D533A">
      <w:pPr>
        <w:wordWrap w:val="0"/>
        <w:spacing w:before="312" w:beforeLines="100" w:after="312" w:afterLines="100"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附件一</w:t>
      </w:r>
      <w:r>
        <w:rPr>
          <w:rFonts w:hint="eastAsia" w:ascii="微软雅黑" w:hAnsi="微软雅黑" w:eastAsia="微软雅黑" w:cs="微软雅黑"/>
          <w:b/>
          <w:color w:val="000000" w:themeColor="text1"/>
          <w:sz w:val="24"/>
          <w:szCs w:val="24"/>
          <w14:textFill>
            <w14:solidFill>
              <w14:schemeClr w14:val="tx1"/>
            </w14:solidFill>
          </w14:textFill>
        </w:rPr>
        <w:t xml:space="preserve"> 房屋平面位置及占用土地范围图（略）</w:t>
      </w:r>
    </w:p>
    <w:p w14:paraId="1BA73C23">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附件二</w:t>
      </w:r>
      <w:r>
        <w:rPr>
          <w:rFonts w:hint="eastAsia" w:ascii="微软雅黑" w:hAnsi="微软雅黑" w:eastAsia="微软雅黑" w:cs="微软雅黑"/>
          <w:b/>
          <w:color w:val="000000" w:themeColor="text1"/>
          <w:sz w:val="24"/>
          <w:szCs w:val="24"/>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b/>
          <w:color w:val="000000" w:themeColor="text1"/>
          <w:sz w:val="24"/>
          <w:szCs w:val="24"/>
          <w14:textFill>
            <w14:solidFill>
              <w14:schemeClr w14:val="tx1"/>
            </w14:solidFill>
          </w14:textFill>
        </w:rPr>
        <w:t>度假</w:t>
      </w:r>
      <w:r>
        <w:rPr>
          <w:rFonts w:hint="eastAsia" w:ascii="微软雅黑" w:hAnsi="微软雅黑" w:eastAsia="微软雅黑" w:cs="微软雅黑"/>
          <w:b/>
          <w:color w:val="000000" w:themeColor="text1"/>
          <w:sz w:val="24"/>
          <w:szCs w:val="24"/>
          <w14:textFill>
            <w14:solidFill>
              <w14:schemeClr w14:val="tx1"/>
            </w14:solidFill>
          </w14:textFill>
        </w:rPr>
        <w:t>村别墅暂行管理方法（略）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72CE3">
    <w:pPr>
      <w:pStyle w:val="4"/>
      <w:framePr w:wrap="around" w:vAnchor="text" w:hAnchor="margin" w:xAlign="center" w:y="1"/>
      <w:rPr>
        <w:rStyle w:val="11"/>
        <w:rFonts w:ascii="Verdana" w:hAnsi="Verdana"/>
      </w:rPr>
    </w:pPr>
    <w:r>
      <w:rPr>
        <w:rFonts w:ascii="Verdana" w:hAnsi="Verdana"/>
      </w:rPr>
      <w:fldChar w:fldCharType="begin"/>
    </w:r>
    <w:r>
      <w:rPr>
        <w:rStyle w:val="11"/>
        <w:rFonts w:ascii="Verdana" w:hAnsi="Verdana"/>
      </w:rPr>
      <w:instrText xml:space="preserve">PAGE  </w:instrText>
    </w:r>
    <w:r>
      <w:rPr>
        <w:rFonts w:ascii="Verdana" w:hAnsi="Verdana"/>
      </w:rPr>
      <w:fldChar w:fldCharType="separate"/>
    </w:r>
    <w:r>
      <w:rPr>
        <w:rStyle w:val="11"/>
        <w:rFonts w:ascii="Verdana" w:hAnsi="Verdana"/>
      </w:rPr>
      <w:t>- 6 -</w:t>
    </w:r>
    <w:r>
      <w:rPr>
        <w:rFonts w:ascii="Verdana" w:hAnsi="Verdana"/>
      </w:rPr>
      <w:fldChar w:fldCharType="end"/>
    </w:r>
  </w:p>
  <w:p w14:paraId="1216BBD1">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18B34">
    <w:pPr>
      <w:pStyle w:val="4"/>
      <w:framePr w:wrap="around" w:vAnchor="text" w:hAnchor="margin" w:xAlign="center" w:y="1"/>
      <w:rPr>
        <w:rStyle w:val="11"/>
      </w:rPr>
    </w:pPr>
    <w:r>
      <w:fldChar w:fldCharType="begin"/>
    </w:r>
    <w:r>
      <w:rPr>
        <w:rStyle w:val="11"/>
      </w:rPr>
      <w:instrText xml:space="preserve">PAGE  </w:instrText>
    </w:r>
    <w:r>
      <w:fldChar w:fldCharType="end"/>
    </w:r>
  </w:p>
  <w:p w14:paraId="6A53006F">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98"/>
    <w:rsid w:val="00020A40"/>
    <w:rsid w:val="00055433"/>
    <w:rsid w:val="00064490"/>
    <w:rsid w:val="00072EE2"/>
    <w:rsid w:val="000B36EF"/>
    <w:rsid w:val="000B5223"/>
    <w:rsid w:val="000D7242"/>
    <w:rsid w:val="00112C44"/>
    <w:rsid w:val="001570B2"/>
    <w:rsid w:val="001A3E4A"/>
    <w:rsid w:val="001B1FCD"/>
    <w:rsid w:val="001D25D0"/>
    <w:rsid w:val="001D5004"/>
    <w:rsid w:val="00212251"/>
    <w:rsid w:val="0023511A"/>
    <w:rsid w:val="0027460F"/>
    <w:rsid w:val="002D2D4C"/>
    <w:rsid w:val="003116ED"/>
    <w:rsid w:val="00367904"/>
    <w:rsid w:val="00374298"/>
    <w:rsid w:val="003D4680"/>
    <w:rsid w:val="003E4BDF"/>
    <w:rsid w:val="003E778A"/>
    <w:rsid w:val="003F2C94"/>
    <w:rsid w:val="00401310"/>
    <w:rsid w:val="00403921"/>
    <w:rsid w:val="00441831"/>
    <w:rsid w:val="004671B4"/>
    <w:rsid w:val="00482EC2"/>
    <w:rsid w:val="004C1F46"/>
    <w:rsid w:val="004E6902"/>
    <w:rsid w:val="0053160D"/>
    <w:rsid w:val="0055482C"/>
    <w:rsid w:val="005A62AA"/>
    <w:rsid w:val="005B167A"/>
    <w:rsid w:val="00607DBE"/>
    <w:rsid w:val="00641E18"/>
    <w:rsid w:val="00667F2F"/>
    <w:rsid w:val="006D754E"/>
    <w:rsid w:val="006F6C79"/>
    <w:rsid w:val="00734E53"/>
    <w:rsid w:val="007B0661"/>
    <w:rsid w:val="007D271C"/>
    <w:rsid w:val="007F29A4"/>
    <w:rsid w:val="007F7C41"/>
    <w:rsid w:val="00812337"/>
    <w:rsid w:val="0084449B"/>
    <w:rsid w:val="00846E08"/>
    <w:rsid w:val="00897C47"/>
    <w:rsid w:val="00944C92"/>
    <w:rsid w:val="0095151F"/>
    <w:rsid w:val="009639FE"/>
    <w:rsid w:val="009A71EB"/>
    <w:rsid w:val="009B1281"/>
    <w:rsid w:val="009B131F"/>
    <w:rsid w:val="009B2DD4"/>
    <w:rsid w:val="009E1CAE"/>
    <w:rsid w:val="00A016E4"/>
    <w:rsid w:val="00A31F9B"/>
    <w:rsid w:val="00A8391F"/>
    <w:rsid w:val="00AD206D"/>
    <w:rsid w:val="00AF0502"/>
    <w:rsid w:val="00AF4C42"/>
    <w:rsid w:val="00B0261D"/>
    <w:rsid w:val="00B105C2"/>
    <w:rsid w:val="00B17495"/>
    <w:rsid w:val="00B32CD5"/>
    <w:rsid w:val="00BC508B"/>
    <w:rsid w:val="00BF4A77"/>
    <w:rsid w:val="00C21432"/>
    <w:rsid w:val="00C85771"/>
    <w:rsid w:val="00CA3FFD"/>
    <w:rsid w:val="00CC543F"/>
    <w:rsid w:val="00CE0003"/>
    <w:rsid w:val="00D0045D"/>
    <w:rsid w:val="00D0421B"/>
    <w:rsid w:val="00D14910"/>
    <w:rsid w:val="00D258BF"/>
    <w:rsid w:val="00D616E3"/>
    <w:rsid w:val="00D80C76"/>
    <w:rsid w:val="00D84CFE"/>
    <w:rsid w:val="00D90328"/>
    <w:rsid w:val="00D9738E"/>
    <w:rsid w:val="00DA6AF7"/>
    <w:rsid w:val="00E009DE"/>
    <w:rsid w:val="00E269DF"/>
    <w:rsid w:val="00E425BC"/>
    <w:rsid w:val="00E438F4"/>
    <w:rsid w:val="00ED5AD6"/>
    <w:rsid w:val="00ED7C59"/>
    <w:rsid w:val="00F03CCB"/>
    <w:rsid w:val="00F36ACE"/>
    <w:rsid w:val="00F60BDB"/>
    <w:rsid w:val="00F71858"/>
    <w:rsid w:val="00F84B8C"/>
    <w:rsid w:val="00FA4321"/>
    <w:rsid w:val="00FC4F0C"/>
    <w:rsid w:val="041020C3"/>
    <w:rsid w:val="11831515"/>
    <w:rsid w:val="DFBFD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9"/>
    <w:qFormat/>
    <w:uiPriority w:val="9"/>
    <w:pPr>
      <w:keepLines/>
      <w:widowControl/>
      <w:spacing w:before="280" w:after="280"/>
      <w:jc w:val="center"/>
      <w:outlineLvl w:val="1"/>
    </w:pPr>
    <w:rPr>
      <w:rFonts w:cs="Cambria" w:asciiTheme="majorHAnsi" w:hAnsiTheme="majorHAnsi"/>
      <w:b/>
      <w:color w:val="4472C4" w:themeColor="accent1"/>
      <w:kern w:val="0"/>
      <w:sz w:val="38"/>
      <w:szCs w:val="20"/>
      <w14:textFill>
        <w14:solidFill>
          <w14:schemeClr w14:val="accent1"/>
        </w14:solidFill>
      </w14:textFill>
    </w:rPr>
  </w:style>
  <w:style w:type="paragraph" w:styleId="3">
    <w:name w:val="heading 3"/>
    <w:basedOn w:val="1"/>
    <w:next w:val="1"/>
    <w:link w:val="14"/>
    <w:qFormat/>
    <w:uiPriority w:val="9"/>
    <w:pPr>
      <w:keepNext/>
      <w:keepLines/>
      <w:spacing w:before="260" w:after="260" w:line="416" w:lineRule="auto"/>
      <w:jc w:val="center"/>
      <w:outlineLvl w:val="2"/>
    </w:pPr>
    <w:rPr>
      <w:rFonts w:ascii="等线" w:hAnsi="等线" w:eastAsia="宋体" w:cs="Times New Roman"/>
      <w:b/>
      <w:bCs/>
      <w:sz w:val="32"/>
      <w:szCs w:val="32"/>
    </w:rPr>
  </w:style>
  <w:style w:type="character" w:default="1" w:styleId="10">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22"/>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5">
    <w:name w:val="Normal (Web)"/>
    <w:basedOn w:val="1"/>
    <w:qFormat/>
    <w:uiPriority w:val="99"/>
    <w:pPr>
      <w:widowControl/>
      <w:spacing w:before="90"/>
      <w:jc w:val="left"/>
    </w:pPr>
    <w:rPr>
      <w:rFonts w:ascii="Times New Roman" w:hAnsi="Times New Roman" w:cs="Times New Roman"/>
      <w:kern w:val="0"/>
      <w:sz w:val="24"/>
      <w:szCs w:val="20"/>
    </w:rPr>
  </w:style>
  <w:style w:type="paragraph" w:styleId="6">
    <w:name w:val="Title"/>
    <w:basedOn w:val="1"/>
    <w:next w:val="1"/>
    <w:link w:val="13"/>
    <w:qFormat/>
    <w:uiPriority w:val="10"/>
    <w:pPr>
      <w:spacing w:before="240" w:after="60"/>
      <w:jc w:val="center"/>
      <w:outlineLvl w:val="0"/>
    </w:pPr>
    <w:rPr>
      <w:rFonts w:asciiTheme="majorHAnsi" w:hAnsiTheme="majorHAnsi" w:eastAsiaTheme="majorEastAsia" w:cstheme="majorBidi"/>
      <w:b/>
      <w:bCs/>
      <w:sz w:val="32"/>
      <w:szCs w:val="32"/>
    </w:rPr>
  </w:style>
  <w:style w:type="table" w:styleId="8">
    <w:name w:val="Table Grid"/>
    <w:basedOn w:val="7"/>
    <w:qFormat/>
    <w:uiPriority w:val="0"/>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Table Theme"/>
    <w:basedOn w:val="7"/>
    <w:qFormat/>
    <w:uiPriority w:val="0"/>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basedOn w:val="10"/>
    <w:unhideWhenUsed/>
    <w:qFormat/>
    <w:uiPriority w:val="99"/>
    <w:rPr>
      <w:color w:val="0000FF"/>
      <w:u w:val="single"/>
    </w:rPr>
  </w:style>
  <w:style w:type="character" w:customStyle="1" w:styleId="13">
    <w:name w:val="标题 字符"/>
    <w:basedOn w:val="10"/>
    <w:link w:val="6"/>
    <w:qFormat/>
    <w:uiPriority w:val="10"/>
    <w:rPr>
      <w:rFonts w:asciiTheme="majorHAnsi" w:hAnsiTheme="majorHAnsi" w:eastAsiaTheme="majorEastAsia" w:cstheme="majorBidi"/>
      <w:b/>
      <w:bCs/>
      <w:sz w:val="32"/>
      <w:szCs w:val="32"/>
    </w:rPr>
  </w:style>
  <w:style w:type="character" w:customStyle="1" w:styleId="14">
    <w:name w:val="标题 3 字符"/>
    <w:basedOn w:val="10"/>
    <w:link w:val="3"/>
    <w:qFormat/>
    <w:uiPriority w:val="9"/>
    <w:rPr>
      <w:rFonts w:ascii="等线" w:hAnsi="等线" w:eastAsia="宋体" w:cs="Times New Roman"/>
      <w:b/>
      <w:bCs/>
      <w:sz w:val="32"/>
      <w:szCs w:val="32"/>
    </w:rPr>
  </w:style>
  <w:style w:type="paragraph" w:customStyle="1" w:styleId="15">
    <w:name w:val="样式 样式 标题 3 + (中文) 宋体1 + 小四"/>
    <w:basedOn w:val="1"/>
    <w:link w:val="16"/>
    <w:qFormat/>
    <w:uiPriority w:val="0"/>
    <w:pPr>
      <w:keepNext/>
      <w:keepLines/>
      <w:spacing w:before="260" w:after="260" w:line="416" w:lineRule="auto"/>
      <w:jc w:val="center"/>
      <w:outlineLvl w:val="2"/>
    </w:pPr>
    <w:rPr>
      <w:rFonts w:ascii="等线" w:hAnsi="等线" w:eastAsia="宋体" w:cs="Times New Roman"/>
      <w:b/>
      <w:bCs/>
      <w:sz w:val="32"/>
      <w:szCs w:val="32"/>
    </w:rPr>
  </w:style>
  <w:style w:type="character" w:customStyle="1" w:styleId="16">
    <w:name w:val="样式 样式 标题 3 + (中文) 宋体1 + 小四 Char"/>
    <w:basedOn w:val="10"/>
    <w:link w:val="15"/>
    <w:qFormat/>
    <w:uiPriority w:val="0"/>
    <w:rPr>
      <w:rFonts w:ascii="等线" w:hAnsi="等线" w:eastAsia="宋体" w:cs="Times New Roman"/>
      <w:b/>
      <w:bCs/>
      <w:sz w:val="32"/>
      <w:szCs w:val="32"/>
    </w:rPr>
  </w:style>
  <w:style w:type="table" w:customStyle="1" w:styleId="17">
    <w:name w:val="Table Normal"/>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table" w:customStyle="1" w:styleId="18">
    <w:name w:val="Grid Table 1 Light"/>
    <w:basedOn w:val="7"/>
    <w:qFormat/>
    <w:uiPriority w:val="46"/>
    <w:rPr>
      <w:rFonts w:ascii="Times New Roman" w:hAnsi="Times New Roman" w:cs="Times New Roman"/>
      <w:kern w:val="0"/>
      <w:sz w:val="20"/>
      <w:szCs w:val="20"/>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9">
    <w:name w:val="标题 2 字符"/>
    <w:basedOn w:val="10"/>
    <w:link w:val="2"/>
    <w:qFormat/>
    <w:uiPriority w:val="9"/>
    <w:rPr>
      <w:rFonts w:cs="Cambria" w:asciiTheme="majorHAnsi" w:hAnsiTheme="majorHAnsi"/>
      <w:b/>
      <w:color w:val="4472C4" w:themeColor="accent1"/>
      <w:kern w:val="0"/>
      <w:sz w:val="38"/>
      <w:szCs w:val="20"/>
      <w14:textFill>
        <w14:solidFill>
          <w14:schemeClr w14:val="accent1"/>
        </w14:solidFill>
      </w14:textFill>
    </w:rPr>
  </w:style>
  <w:style w:type="table" w:customStyle="1" w:styleId="20">
    <w:name w:val="Normal Table0"/>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paragraph" w:customStyle="1" w:styleId="21">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character" w:customStyle="1" w:styleId="22">
    <w:name w:val="页脚 字符"/>
    <w:basedOn w:val="10"/>
    <w:link w:val="4"/>
    <w:qFormat/>
    <w:uiPriority w:val="0"/>
    <w:rPr>
      <w:rFonts w:ascii="Times New Roman" w:hAnsi="Times New Roman" w:eastAsia="宋体" w:cs="Times New Roman"/>
      <w:sz w:val="18"/>
      <w:szCs w:val="18"/>
    </w:rPr>
  </w:style>
  <w:style w:type="paragraph" w:customStyle="1" w:styleId="23">
    <w:name w:val="样式3"/>
    <w:basedOn w:val="1"/>
    <w:qFormat/>
    <w:uiPriority w:val="0"/>
    <w:pPr>
      <w:snapToGrid w:val="0"/>
      <w:spacing w:line="360" w:lineRule="auto"/>
      <w:jc w:val="center"/>
    </w:pPr>
    <w:rPr>
      <w:rFonts w:ascii="???????" w:hAnsi="Times New Roman" w:eastAsia="Times New Roman" w:cs="Times New Roman"/>
      <w:sz w:val="44"/>
      <w:szCs w:val="44"/>
    </w:rPr>
  </w:style>
  <w:style w:type="character" w:customStyle="1" w:styleId="24">
    <w:name w:val="normaltextrun"/>
    <w:basedOn w:val="10"/>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1747</Words>
  <Characters>1765</Characters>
  <Lines>9</Lines>
  <Paragraphs>2</Paragraphs>
  <TotalTime>1</TotalTime>
  <ScaleCrop>false</ScaleCrop>
  <LinksUpToDate>false</LinksUpToDate>
  <CharactersWithSpaces>2436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2019-03-10T21:49:00Z</dcterms:created>
  <dc:creator>雯 张</dc:creator>
  <cp:lastModifiedBy>豪</cp:lastModifiedBy>
  <dcterms:modified xsi:type="dcterms:W3CDTF">2026-03-22T06:50:59Z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D446A228261BBE73B61330683E86C8AE_42</vt:lpwstr>
  </property>
  <property fmtid="{D5CDD505-2E9C-101B-9397-08002B2CF9AE}" pid="4" name="KSOTemplateDocerSaveRecord">
    <vt:lpwstr>eyJoZGlkIjoiNTg0MzMyNGJiMDEzODc5ODNlMGVjODViOWRkZjg1MDgiLCJ1c2VySWQiOiIxMjc2Mzc3NjgxIn0=</vt:lpwstr>
  </property>
</Properties>
</file>