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D0F28">
      <w:pPr>
        <w:ind w:firstLine="723" w:firstLineChars="200"/>
        <w:rPr>
          <w:rFonts w:hint="eastAsia" w:ascii="楷体" w:hAnsi="楷体" w:eastAsia="楷体" w:cs="楷体"/>
          <w:b/>
          <w:bCs/>
          <w:color w:val="000000" w:themeColor="text1"/>
          <w:sz w:val="36"/>
          <w:szCs w:val="36"/>
          <w14:textFill>
            <w14:solidFill>
              <w14:schemeClr w14:val="tx1"/>
            </w14:solidFill>
          </w14:textFill>
        </w:rPr>
      </w:pPr>
      <w:bookmarkStart w:id="2" w:name="_GoBack"/>
    </w:p>
    <w:p w14:paraId="66AB3710">
      <w:pPr>
        <w:jc w:val="center"/>
        <w:rPr>
          <w:rFonts w:hint="eastAsia" w:ascii="微软雅黑" w:hAnsi="微软雅黑" w:eastAsia="微软雅黑" w:cs="微软雅黑"/>
          <w:b/>
          <w:bCs/>
          <w:color w:val="000000" w:themeColor="text1"/>
          <w:sz w:val="36"/>
          <w:szCs w:val="36"/>
          <w14:textFill>
            <w14:solidFill>
              <w14:schemeClr w14:val="tx1"/>
            </w14:solidFill>
          </w14:textFill>
        </w:rPr>
      </w:pPr>
      <w:r>
        <w:rPr>
          <w:rFonts w:hint="eastAsia" w:ascii="微软雅黑" w:hAnsi="微软雅黑" w:eastAsia="微软雅黑" w:cs="微软雅黑"/>
          <w:b/>
          <w:bCs/>
          <w:color w:val="000000" w:themeColor="text1"/>
          <w:spacing w:val="57"/>
          <w:sz w:val="36"/>
          <w:szCs w:val="36"/>
          <w14:textFill>
            <w14:solidFill>
              <w14:schemeClr w14:val="tx1"/>
            </w14:solidFill>
          </w14:textFill>
        </w:rPr>
        <w:t>消防器材买卖、灭火器充灌合同</w:t>
      </w:r>
    </w:p>
    <w:bookmarkEnd w:id="2"/>
    <w:p w14:paraId="516C503B">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34EC518">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甲方（采购方）：</w:t>
      </w:r>
    </w:p>
    <w:p w14:paraId="3FEC0582">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5C9C1342">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6A9BAC4E">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乙方（供货方）：</w:t>
      </w:r>
    </w:p>
    <w:p w14:paraId="712E2AAA">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13279F0A">
      <w:p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720D1008">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A2CF518">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根据《中华人民共和国民法典》及其他有关法律、法规，就甲方向乙方采购灭火器新购、维修、充灌的相关事宜达成一致，并签订本合同，甲、乙双方共同遵守。</w:t>
      </w:r>
    </w:p>
    <w:p w14:paraId="29C39308">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EEC5061">
      <w:pPr>
        <w:numPr>
          <w:ilvl w:val="0"/>
          <w:numId w:val="1"/>
        </w:num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甲方向乙方采购如下产品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2425"/>
        <w:gridCol w:w="2539"/>
        <w:gridCol w:w="926"/>
        <w:gridCol w:w="1814"/>
      </w:tblGrid>
      <w:tr w14:paraId="66EE3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18" w:type="dxa"/>
            <w:tcBorders>
              <w:top w:val="single" w:color="auto" w:sz="4" w:space="0"/>
              <w:left w:val="single" w:color="auto" w:sz="4" w:space="0"/>
              <w:bottom w:val="single" w:color="auto" w:sz="4" w:space="0"/>
              <w:right w:val="single" w:color="auto" w:sz="4" w:space="0"/>
            </w:tcBorders>
            <w:shd w:val="clear" w:color="auto" w:fill="auto"/>
            <w:vAlign w:val="center"/>
          </w:tcPr>
          <w:p w14:paraId="5AD47519">
            <w:pP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序号</w:t>
            </w:r>
          </w:p>
        </w:tc>
        <w:tc>
          <w:tcPr>
            <w:tcW w:w="2425" w:type="dxa"/>
            <w:tcBorders>
              <w:top w:val="single" w:color="auto" w:sz="4" w:space="0"/>
              <w:left w:val="single" w:color="auto" w:sz="4" w:space="0"/>
              <w:bottom w:val="single" w:color="auto" w:sz="4" w:space="0"/>
              <w:right w:val="single" w:color="auto" w:sz="4" w:space="0"/>
            </w:tcBorders>
            <w:shd w:val="clear" w:color="auto" w:fill="FFFFFF"/>
            <w:vAlign w:val="center"/>
          </w:tcPr>
          <w:p w14:paraId="239D3473">
            <w:pPr>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名称</w:t>
            </w:r>
          </w:p>
        </w:tc>
        <w:tc>
          <w:tcPr>
            <w:tcW w:w="2539" w:type="dxa"/>
            <w:tcBorders>
              <w:top w:val="single" w:color="auto" w:sz="4" w:space="0"/>
              <w:left w:val="single" w:color="auto" w:sz="4" w:space="0"/>
              <w:bottom w:val="single" w:color="auto" w:sz="4" w:space="0"/>
              <w:right w:val="single" w:color="auto" w:sz="4" w:space="0"/>
            </w:tcBorders>
            <w:vAlign w:val="center"/>
          </w:tcPr>
          <w:p w14:paraId="60F1D6A0">
            <w:pPr>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型号</w:t>
            </w:r>
          </w:p>
        </w:tc>
        <w:tc>
          <w:tcPr>
            <w:tcW w:w="926" w:type="dxa"/>
            <w:tcBorders>
              <w:top w:val="single" w:color="auto" w:sz="4" w:space="0"/>
              <w:left w:val="single" w:color="auto" w:sz="4" w:space="0"/>
              <w:bottom w:val="single" w:color="auto" w:sz="4" w:space="0"/>
              <w:right w:val="single" w:color="auto" w:sz="4" w:space="0"/>
            </w:tcBorders>
            <w:vAlign w:val="center"/>
          </w:tcPr>
          <w:p w14:paraId="38C39077">
            <w:pP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单位</w:t>
            </w:r>
          </w:p>
        </w:tc>
        <w:tc>
          <w:tcPr>
            <w:tcW w:w="1814" w:type="dxa"/>
            <w:tcBorders>
              <w:top w:val="single" w:color="auto" w:sz="4" w:space="0"/>
              <w:left w:val="single" w:color="auto" w:sz="4" w:space="0"/>
              <w:bottom w:val="single" w:color="auto" w:sz="4" w:space="0"/>
              <w:right w:val="single" w:color="auto" w:sz="4" w:space="0"/>
            </w:tcBorders>
            <w:vAlign w:val="center"/>
          </w:tcPr>
          <w:p w14:paraId="418A04FD">
            <w:pP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单价（元）</w:t>
            </w:r>
          </w:p>
        </w:tc>
      </w:tr>
      <w:tr w14:paraId="64CF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14:paraId="5CA6C95E">
            <w:pP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tc>
        <w:tc>
          <w:tcPr>
            <w:tcW w:w="2425" w:type="dxa"/>
            <w:tcBorders>
              <w:top w:val="single" w:color="auto" w:sz="4" w:space="0"/>
              <w:left w:val="single" w:color="auto" w:sz="4" w:space="0"/>
              <w:bottom w:val="single" w:color="auto" w:sz="4" w:space="0"/>
              <w:right w:val="single" w:color="auto" w:sz="4" w:space="0"/>
            </w:tcBorders>
            <w:vAlign w:val="center"/>
          </w:tcPr>
          <w:p w14:paraId="058806F9">
            <w:pPr>
              <w:ind w:firstLine="480" w:firstLineChars="200"/>
              <w:jc w:val="left"/>
              <w:rPr>
                <w:rFonts w:hint="eastAsia" w:ascii="微软雅黑" w:hAnsi="微软雅黑" w:eastAsia="微软雅黑" w:cs="微软雅黑"/>
                <w:color w:val="000000" w:themeColor="text1"/>
                <w:sz w:val="24"/>
                <w:szCs w:val="24"/>
                <w14:textFill>
                  <w14:solidFill>
                    <w14:schemeClr w14:val="tx1"/>
                  </w14:solidFill>
                </w14:textFill>
              </w:rPr>
            </w:pPr>
          </w:p>
        </w:tc>
        <w:tc>
          <w:tcPr>
            <w:tcW w:w="2539" w:type="dxa"/>
            <w:tcBorders>
              <w:top w:val="single" w:color="auto" w:sz="4" w:space="0"/>
              <w:left w:val="single" w:color="auto" w:sz="4" w:space="0"/>
              <w:bottom w:val="single" w:color="auto" w:sz="4" w:space="0"/>
              <w:right w:val="single" w:color="auto" w:sz="4" w:space="0"/>
            </w:tcBorders>
            <w:vAlign w:val="center"/>
          </w:tcPr>
          <w:p w14:paraId="4E80408B">
            <w:pPr>
              <w:ind w:firstLine="480" w:firstLineChars="200"/>
              <w:jc w:val="left"/>
              <w:rPr>
                <w:rFonts w:hint="eastAsia" w:ascii="微软雅黑" w:hAnsi="微软雅黑" w:eastAsia="微软雅黑" w:cs="微软雅黑"/>
                <w:color w:val="000000" w:themeColor="text1"/>
                <w:sz w:val="24"/>
                <w:szCs w:val="24"/>
                <w14:textFill>
                  <w14:solidFill>
                    <w14:schemeClr w14:val="tx1"/>
                  </w14:solidFill>
                </w14:textFill>
              </w:rPr>
            </w:pPr>
          </w:p>
        </w:tc>
        <w:tc>
          <w:tcPr>
            <w:tcW w:w="926" w:type="dxa"/>
            <w:tcBorders>
              <w:top w:val="single" w:color="auto" w:sz="4" w:space="0"/>
              <w:left w:val="single" w:color="auto" w:sz="4" w:space="0"/>
              <w:bottom w:val="single" w:color="auto" w:sz="4" w:space="0"/>
              <w:right w:val="single" w:color="auto" w:sz="4" w:space="0"/>
            </w:tcBorders>
            <w:vAlign w:val="center"/>
          </w:tcPr>
          <w:p w14:paraId="2938F647">
            <w:pPr>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814" w:type="dxa"/>
            <w:tcBorders>
              <w:top w:val="single" w:color="auto" w:sz="4" w:space="0"/>
              <w:left w:val="single" w:color="auto" w:sz="4" w:space="0"/>
              <w:bottom w:val="single" w:color="auto" w:sz="4" w:space="0"/>
              <w:right w:val="single" w:color="auto" w:sz="4" w:space="0"/>
            </w:tcBorders>
            <w:vAlign w:val="center"/>
          </w:tcPr>
          <w:p w14:paraId="094CDD36">
            <w:pPr>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31E1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14:paraId="74F848C5">
            <w:pP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tc>
        <w:tc>
          <w:tcPr>
            <w:tcW w:w="2425" w:type="dxa"/>
            <w:tcBorders>
              <w:top w:val="single" w:color="auto" w:sz="4" w:space="0"/>
              <w:left w:val="single" w:color="auto" w:sz="4" w:space="0"/>
              <w:bottom w:val="single" w:color="auto" w:sz="4" w:space="0"/>
              <w:right w:val="single" w:color="auto" w:sz="4" w:space="0"/>
            </w:tcBorders>
            <w:vAlign w:val="center"/>
          </w:tcPr>
          <w:p w14:paraId="740CAA05">
            <w:pPr>
              <w:ind w:firstLine="480" w:firstLineChars="200"/>
              <w:jc w:val="left"/>
              <w:rPr>
                <w:rFonts w:hint="eastAsia" w:ascii="微软雅黑" w:hAnsi="微软雅黑" w:eastAsia="微软雅黑" w:cs="微软雅黑"/>
                <w:color w:val="000000" w:themeColor="text1"/>
                <w:sz w:val="24"/>
                <w:szCs w:val="24"/>
                <w14:textFill>
                  <w14:solidFill>
                    <w14:schemeClr w14:val="tx1"/>
                  </w14:solidFill>
                </w14:textFill>
              </w:rPr>
            </w:pPr>
          </w:p>
        </w:tc>
        <w:tc>
          <w:tcPr>
            <w:tcW w:w="2539" w:type="dxa"/>
            <w:tcBorders>
              <w:top w:val="single" w:color="auto" w:sz="4" w:space="0"/>
              <w:left w:val="single" w:color="auto" w:sz="4" w:space="0"/>
              <w:bottom w:val="single" w:color="auto" w:sz="4" w:space="0"/>
              <w:right w:val="single" w:color="auto" w:sz="4" w:space="0"/>
            </w:tcBorders>
            <w:vAlign w:val="center"/>
          </w:tcPr>
          <w:p w14:paraId="24E376C8">
            <w:pPr>
              <w:ind w:firstLine="480" w:firstLineChars="200"/>
              <w:jc w:val="left"/>
              <w:rPr>
                <w:rFonts w:hint="eastAsia" w:ascii="微软雅黑" w:hAnsi="微软雅黑" w:eastAsia="微软雅黑" w:cs="微软雅黑"/>
                <w:color w:val="000000" w:themeColor="text1"/>
                <w:sz w:val="24"/>
                <w:szCs w:val="24"/>
                <w14:textFill>
                  <w14:solidFill>
                    <w14:schemeClr w14:val="tx1"/>
                  </w14:solidFill>
                </w14:textFill>
              </w:rPr>
            </w:pPr>
          </w:p>
        </w:tc>
        <w:tc>
          <w:tcPr>
            <w:tcW w:w="926" w:type="dxa"/>
            <w:tcBorders>
              <w:top w:val="single" w:color="auto" w:sz="4" w:space="0"/>
              <w:left w:val="single" w:color="auto" w:sz="4" w:space="0"/>
              <w:bottom w:val="single" w:color="auto" w:sz="4" w:space="0"/>
              <w:right w:val="single" w:color="auto" w:sz="4" w:space="0"/>
            </w:tcBorders>
            <w:vAlign w:val="center"/>
          </w:tcPr>
          <w:p w14:paraId="45509EF6">
            <w:pPr>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814" w:type="dxa"/>
            <w:tcBorders>
              <w:top w:val="single" w:color="auto" w:sz="4" w:space="0"/>
              <w:left w:val="single" w:color="auto" w:sz="4" w:space="0"/>
              <w:bottom w:val="single" w:color="auto" w:sz="4" w:space="0"/>
              <w:right w:val="single" w:color="auto" w:sz="4" w:space="0"/>
            </w:tcBorders>
            <w:vAlign w:val="center"/>
          </w:tcPr>
          <w:p w14:paraId="40EF2812">
            <w:pPr>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p>
        </w:tc>
      </w:tr>
      <w:tr w14:paraId="5692A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522" w:type="dxa"/>
            <w:gridSpan w:val="5"/>
            <w:tcBorders>
              <w:top w:val="single" w:color="auto" w:sz="4" w:space="0"/>
              <w:left w:val="single" w:color="auto" w:sz="4" w:space="0"/>
              <w:bottom w:val="single" w:color="auto" w:sz="4" w:space="0"/>
              <w:right w:val="single" w:color="auto" w:sz="4" w:space="0"/>
            </w:tcBorders>
            <w:vAlign w:val="center"/>
          </w:tcPr>
          <w:p w14:paraId="238F96A3">
            <w:pPr>
              <w:ind w:firstLine="480" w:firstLineChars="2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总计：¥</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元（大写：人民币      元整）</w:t>
            </w:r>
          </w:p>
        </w:tc>
      </w:tr>
    </w:tbl>
    <w:p w14:paraId="52857679">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上述产品价格包含运费（运送到甲方指定交货地点）、包装费、保险费、增值税等乙方完成本合同义务甲方应当支付的一切费用，合同期内乙方向甲方供货不得超过上述单价。除上述产品外甲方需要乙方提供其他消防安全器材的，甲乙双方在不高于市场价格的基础上协商决定。</w:t>
      </w:r>
    </w:p>
    <w:p w14:paraId="651ED081">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A31C8D1">
      <w:pPr>
        <w:numPr>
          <w:ilvl w:val="0"/>
          <w:numId w:val="1"/>
        </w:num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bookmarkStart w:id="0" w:name="_Toc535137655"/>
      <w:r>
        <w:rPr>
          <w:rFonts w:hint="eastAsia" w:ascii="微软雅黑" w:hAnsi="微软雅黑" w:eastAsia="微软雅黑" w:cs="微软雅黑"/>
          <w:b/>
          <w:bCs/>
          <w:color w:val="000000" w:themeColor="text1"/>
          <w:sz w:val="24"/>
          <w:szCs w:val="24"/>
          <w14:textFill>
            <w14:solidFill>
              <w14:schemeClr w14:val="tx1"/>
            </w14:solidFill>
          </w14:textFill>
        </w:rPr>
        <w:t>运输和包装</w:t>
      </w:r>
      <w:bookmarkEnd w:id="0"/>
    </w:p>
    <w:p w14:paraId="12F1DF9B">
      <w:pPr>
        <w:numPr>
          <w:ilvl w:val="0"/>
          <w:numId w:val="2"/>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甲方将所需要的货物清单交给乙方后，乙方应在3个工作日内按照甲方清单的全部货物随同单据配送到甲方所在地或甲方指定地点。</w:t>
      </w:r>
    </w:p>
    <w:p w14:paraId="641C0371">
      <w:pPr>
        <w:numPr>
          <w:ilvl w:val="0"/>
          <w:numId w:val="2"/>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从乙方仓库到本合同指定的交货地点所发生的运费、保险及其他一切费用由乙方负责。</w:t>
      </w:r>
    </w:p>
    <w:p w14:paraId="21BCE07E">
      <w:pPr>
        <w:numPr>
          <w:ilvl w:val="0"/>
          <w:numId w:val="2"/>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乙方负责机具从乙方公司的仓库到合同指定的交货地点的运输，并承担机具的运输风险。 </w:t>
      </w:r>
    </w:p>
    <w:p w14:paraId="65FCFE77">
      <w:pPr>
        <w:numPr>
          <w:ilvl w:val="0"/>
          <w:numId w:val="2"/>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机具的包装须用坚固的木箱或纸箱包装，以宜于长途运输，并具有良好的防潮抗震能力。由于包装不适当所引起的货物损坏和损失均由乙方承担。</w:t>
      </w:r>
    </w:p>
    <w:p w14:paraId="35BAFA04">
      <w:pPr>
        <w:numPr>
          <w:ilvl w:val="0"/>
          <w:numId w:val="2"/>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应在每件包装箱内应附一份详细装箱单、产品说明书及其它与本合同项下产品相关的资料。每个货箱中备有装箱清单，清单中依次说明型号、数量、零配件、产地、生产厂家等内容，提供安装和检修所需专用工具和消耗材料的清单；包装箱内应附带下列文件，但不限于此：</w:t>
      </w:r>
    </w:p>
    <w:p w14:paraId="61163CAC">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产品使用说明书；</w:t>
      </w:r>
    </w:p>
    <w:p w14:paraId="2D228ECB">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产品检验合格证书；</w:t>
      </w:r>
    </w:p>
    <w:p w14:paraId="21CCC256">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产品保修卡；</w:t>
      </w:r>
    </w:p>
    <w:p w14:paraId="474826BF">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安装指示图。</w:t>
      </w:r>
    </w:p>
    <w:p w14:paraId="36034E7F">
      <w:pPr>
        <w:numPr>
          <w:ilvl w:val="0"/>
          <w:numId w:val="2"/>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乙方负责调试安装，因安装调试不当或不按操作规程安装导致设备损坏而带来的损失由乙方自行承担。</w:t>
      </w:r>
    </w:p>
    <w:p w14:paraId="37E72133">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8F16ACF">
      <w:pPr>
        <w:numPr>
          <w:ilvl w:val="0"/>
          <w:numId w:val="1"/>
        </w:num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设备的验收</w:t>
      </w:r>
    </w:p>
    <w:p w14:paraId="209B5367">
      <w:pPr>
        <w:numPr>
          <w:ilvl w:val="0"/>
          <w:numId w:val="3"/>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乙方必须在送交设备前全面、准确的检验设备的质量、型号、规格和数量，产品均需检验合格。</w:t>
      </w:r>
    </w:p>
    <w:p w14:paraId="01DB65D9">
      <w:pPr>
        <w:numPr>
          <w:ilvl w:val="0"/>
          <w:numId w:val="3"/>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乙方每批设备送交后甲方进行数量清点，若出现产品数量短缺，所缺部分产品乙方7天内补足。甲方对每批设备进行逐台检验，对不能满足技术指标的设备，将视为不合格品。</w:t>
      </w:r>
    </w:p>
    <w:p w14:paraId="58DED7A0">
      <w:pPr>
        <w:numPr>
          <w:ilvl w:val="0"/>
          <w:numId w:val="3"/>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所供设备经甲方检验后出现不合格品，包括但不限于产品品牌、型号、规格、数量、质量与合同约定不符的，乙方保证在7天内进行免费更换。如某项出现高于5%的不合格率，甲方有权利将此项设备退货，并有权重新选择设备供应商及要求乙方赔偿。</w:t>
      </w:r>
    </w:p>
    <w:p w14:paraId="7802EBE4">
      <w:pPr>
        <w:numPr>
          <w:ilvl w:val="0"/>
          <w:numId w:val="3"/>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货到后，甲方在收到乙方验收通知之日起10个工作日内进行验收，验收完毕向乙方出具验收单据。</w:t>
      </w:r>
    </w:p>
    <w:p w14:paraId="232087B6">
      <w:pPr>
        <w:numPr>
          <w:ilvl w:val="0"/>
          <w:numId w:val="3"/>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对单纯质量或性能问题，甲方可在产品正式投入使用后的三个月内向乙方提出书面异议，凡出现或发现产品有质量或性能上的问题，仍视为验收不合格。</w:t>
      </w:r>
    </w:p>
    <w:p w14:paraId="32030A97">
      <w:pPr>
        <w:numPr>
          <w:ilvl w:val="0"/>
          <w:numId w:val="3"/>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货物在甲方全部验收合格后即进入质保期。</w:t>
      </w:r>
    </w:p>
    <w:p w14:paraId="39BA028C">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0007779">
      <w:pPr>
        <w:numPr>
          <w:ilvl w:val="0"/>
          <w:numId w:val="1"/>
        </w:num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付款方式</w:t>
      </w:r>
    </w:p>
    <w:p w14:paraId="1CF422CB">
      <w:pPr>
        <w:numPr>
          <w:ilvl w:val="0"/>
          <w:numId w:val="4"/>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甲方在收到乙方交付货物并验收合格，且乙方提供正规合法的且金额相符的发票后，15个工作日内支付至乙方货物的总价款的</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%，共¥</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元（大写：人民币        元整）。</w:t>
      </w:r>
    </w:p>
    <w:p w14:paraId="5CE7844F">
      <w:pPr>
        <w:numPr>
          <w:ilvl w:val="0"/>
          <w:numId w:val="4"/>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剩余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元（大写：人民币      元整）的货款作为履约保证金。待合同质保期满后，如无任何质量问题及乙方没有违约，甲方无息退还给乙方。</w:t>
      </w:r>
    </w:p>
    <w:p w14:paraId="38CBBE3D">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B4E0771">
      <w:pPr>
        <w:numPr>
          <w:ilvl w:val="0"/>
          <w:numId w:val="1"/>
        </w:num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bookmarkStart w:id="1" w:name="_Toc535137656"/>
      <w:r>
        <w:rPr>
          <w:rFonts w:hint="eastAsia" w:ascii="微软雅黑" w:hAnsi="微软雅黑" w:eastAsia="微软雅黑" w:cs="微软雅黑"/>
          <w:b/>
          <w:bCs/>
          <w:color w:val="000000" w:themeColor="text1"/>
          <w:sz w:val="24"/>
          <w:szCs w:val="24"/>
          <w14:textFill>
            <w14:solidFill>
              <w14:schemeClr w14:val="tx1"/>
            </w14:solidFill>
          </w14:textFill>
        </w:rPr>
        <w:t>质量保证</w:t>
      </w:r>
      <w:bookmarkEnd w:id="1"/>
      <w:r>
        <w:rPr>
          <w:rFonts w:hint="eastAsia" w:ascii="微软雅黑" w:hAnsi="微软雅黑" w:eastAsia="微软雅黑" w:cs="微软雅黑"/>
          <w:b/>
          <w:bCs/>
          <w:color w:val="000000" w:themeColor="text1"/>
          <w:sz w:val="24"/>
          <w:szCs w:val="24"/>
          <w14:textFill>
            <w14:solidFill>
              <w14:schemeClr w14:val="tx1"/>
            </w14:solidFill>
          </w14:textFill>
        </w:rPr>
        <w:t>及维护支持</w:t>
      </w:r>
    </w:p>
    <w:p w14:paraId="7B807FB8">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1、乙方为甲方提供消防器材及灭火器充装的质量，必须按照国家消防器材管理规定及公安消防部门管理规定执行。</w:t>
      </w:r>
    </w:p>
    <w:p w14:paraId="0BB0B7D9">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2、乙方保证所提供的设备为全新的、先进的、成熟的、完整的和安全可靠的，适应本工程的环境条件并能满足消防检测要求。</w:t>
      </w:r>
    </w:p>
    <w:p w14:paraId="1589B901">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对设备提供自验收合格之日起为期12个月的质保期，质保期内如果乙方提供设备产品由于出现生产质量问题而导致故障或损坏，乙方在接到通知后12小时内提供与故障设备产品相同型号的替补设备产品供甲方使用，乙方承担检测维修及相关的其他运输费用。乙方对所销售的产品终身维护。在质保期内，如产品出现不可修复故障乙方无条件予以更换。</w:t>
      </w:r>
    </w:p>
    <w:p w14:paraId="5F8B258A">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4、在质保期内乙方免费提供甲方售后服务用的备品和备件；质保期满乙方按成本价提供甲方售后服务用的备品和备件。</w:t>
      </w:r>
    </w:p>
    <w:p w14:paraId="782C1897">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5、乙方对维护人员及管理人员提供全面的培训，机具安装时乙方派专人指导安装，并提供详尽的培训、安装方案。</w:t>
      </w:r>
    </w:p>
    <w:p w14:paraId="4EB8438E">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6、甲方交与乙方报废的灭火器，乙方必须按照国家环保部门及公安消防部门的有关规定执行报废。</w:t>
      </w:r>
    </w:p>
    <w:p w14:paraId="0E046B3E">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A92D608">
      <w:pPr>
        <w:numPr>
          <w:ilvl w:val="0"/>
          <w:numId w:val="1"/>
        </w:num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免责条款</w:t>
      </w:r>
    </w:p>
    <w:p w14:paraId="4E29C6B3">
      <w:pPr>
        <w:autoSpaceDE w:val="0"/>
        <w:autoSpaceDN w:val="0"/>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33B89A0B">
      <w:pPr>
        <w:autoSpaceDE w:val="0"/>
        <w:autoSpaceDN w:val="0"/>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4BFA69BE">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color w:val="000000" w:themeColor="text1"/>
          <w:sz w:val="24"/>
          <w:szCs w:val="24"/>
          <w14:textFill>
            <w14:solidFill>
              <w14:schemeClr w14:val="tx1"/>
            </w14:solidFill>
          </w14:textFill>
        </w:rPr>
        <w:t>。</w:t>
      </w:r>
    </w:p>
    <w:p w14:paraId="60B77E61">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A783FB4">
      <w:pPr>
        <w:numPr>
          <w:ilvl w:val="0"/>
          <w:numId w:val="1"/>
        </w:num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违约责任</w:t>
      </w:r>
    </w:p>
    <w:p w14:paraId="7230CEE1">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1、若乙方履行义务完全符合合同约定而甲方未按合同规定的时间付款，经乙方书面催促后仍未能依约付款，每逾期一天，应按应付未付金额的万分之五支付违约金。</w:t>
      </w:r>
    </w:p>
    <w:p w14:paraId="557D7C8E">
      <w:pPr>
        <w:numPr>
          <w:ilvl w:val="0"/>
          <w:numId w:val="5"/>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若乙方未按合同规定的时间交货，每逾期一天，应按未交付货物金额的万分之五支付违约金；逾期交货超过三十天，甲方有权选择单方解除合同。</w:t>
      </w:r>
    </w:p>
    <w:p w14:paraId="4A20464D">
      <w:pPr>
        <w:numPr>
          <w:ilvl w:val="0"/>
          <w:numId w:val="5"/>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交付的产品质量不符合合同规定的，乙方应向甲方支付合同总价的百分之五的违约金，并须在合同规定的交货时间内更换合格的设备产品给甲方，否则，视作乙方不能交付设备产品而违约，按本条上述第“2”款约定的方式乙方承担违约责任。</w:t>
      </w:r>
    </w:p>
    <w:p w14:paraId="5335D555">
      <w:pPr>
        <w:numPr>
          <w:ilvl w:val="0"/>
          <w:numId w:val="5"/>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乙方对其交付产品的质量承担保证责任，因产品生产工艺或材料缺陷等原因发生质量故障的，无论产品的保修期是否经过，均由乙方承担责任，赔偿由此给甲方、第三人造成的全部损失。</w:t>
      </w:r>
    </w:p>
    <w:p w14:paraId="53460428">
      <w:pPr>
        <w:numPr>
          <w:ilvl w:val="0"/>
          <w:numId w:val="5"/>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乙方应当保证有权销售本合同的所有产品，不会因此侵犯到第三人的所有权、知识产权等一切权利也未对产品设置任何负担。因乙方违反本款约定产生纠纷的，由乙方负责解决并赔偿由此给甲方造成的全部损失。</w:t>
      </w:r>
    </w:p>
    <w:p w14:paraId="401A4A0C">
      <w:pPr>
        <w:numPr>
          <w:ilvl w:val="0"/>
          <w:numId w:val="5"/>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本合同签订及履行过程中，未经甲方书面同意，乙方不得将本合同的权利义务以任何方式转让给第三人，否则甲方有权选择单方解除本合同。</w:t>
      </w:r>
    </w:p>
    <w:p w14:paraId="4B978E31">
      <w:pPr>
        <w:numPr>
          <w:ilvl w:val="0"/>
          <w:numId w:val="5"/>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乙方应当支付给甲方的违约金、赔偿金，甲方有权在未付的货款中直接扣除，违约金不足以赔偿给甲方造成损失的，甲方仍有权向乙方进行追偿。 </w:t>
      </w:r>
    </w:p>
    <w:p w14:paraId="1036D3DB">
      <w:pPr>
        <w:numPr>
          <w:ilvl w:val="0"/>
          <w:numId w:val="5"/>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按本合同约定甲方选择解除合同的，</w:t>
      </w:r>
      <w:r>
        <w:rPr>
          <w:rFonts w:hint="eastAsia" w:ascii="微软雅黑" w:hAnsi="微软雅黑" w:eastAsia="微软雅黑" w:cs="微软雅黑"/>
          <w:color w:val="000000" w:themeColor="text1"/>
          <w:sz w:val="24"/>
          <w:szCs w:val="24"/>
          <w:lang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w:t>
      </w:r>
      <w:r>
        <w:rPr>
          <w:rFonts w:hint="eastAsia" w:ascii="微软雅黑" w:hAnsi="微软雅黑" w:eastAsia="微软雅黑" w:cs="微软雅黑"/>
          <w:color w:val="000000" w:themeColor="text1"/>
          <w:sz w:val="24"/>
          <w:szCs w:val="24"/>
          <w:lang w:eastAsia="zh-Hans"/>
          <w14:textFill>
            <w14:solidFill>
              <w14:schemeClr w14:val="tx1"/>
            </w14:solidFill>
          </w14:textFill>
        </w:rPr>
        <w:t>确认解除的效力。</w:t>
      </w:r>
    </w:p>
    <w:p w14:paraId="226A3B2C">
      <w:pPr>
        <w:numPr>
          <w:ilvl w:val="0"/>
          <w:numId w:val="5"/>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本合同签订后，未经甲方书面同意，乙方单方面解除合同的，应向甲方支付本合同期限内总价款20%的违约金，退还甲方已支付的全部费用并赔偿由此给甲方造成的全部损失。</w:t>
      </w:r>
    </w:p>
    <w:p w14:paraId="606CCCD1">
      <w:pPr>
        <w:numPr>
          <w:ilvl w:val="0"/>
          <w:numId w:val="5"/>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任何一方违约给对方造成损失的，均应向对方承担赔偿责任，包括但不限于实际损失、预期利益损失、甲方向第三人支付的违约金、赔偿金及甲方为索赔而支出的律师费、诉讼费、保全担保费、保全费、执行费等全部费用。</w:t>
      </w:r>
    </w:p>
    <w:p w14:paraId="48FA52DB">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64968BC">
      <w:pPr>
        <w:numPr>
          <w:ilvl w:val="0"/>
          <w:numId w:val="1"/>
        </w:num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其他约定</w:t>
      </w:r>
    </w:p>
    <w:p w14:paraId="0943D196">
      <w:pPr>
        <w:numPr>
          <w:ilvl w:val="0"/>
          <w:numId w:val="6"/>
        </w:numPr>
        <w:ind w:firstLine="56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仲裁委员会，按照其届时有效的仲裁规则仲裁解决。仲裁裁决是终局的，对双方均有约束力。</w:t>
      </w:r>
    </w:p>
    <w:p w14:paraId="09CC2071">
      <w:pPr>
        <w:numPr>
          <w:ilvl w:val="0"/>
          <w:numId w:val="6"/>
        </w:numPr>
        <w:ind w:firstLine="56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本合同经双方委托代表签名并加盖公司公章或合同专用章后成立，合同一式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份，甲方执</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份，乙方执</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份，均具有同等法律效力。</w:t>
      </w:r>
    </w:p>
    <w:p w14:paraId="77054452">
      <w:pPr>
        <w:numPr>
          <w:ilvl w:val="0"/>
          <w:numId w:val="6"/>
        </w:numPr>
        <w:ind w:firstLine="56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本合同未尽事宜，双方应在本合同达成一致的原则基础上协商解决或以补充条款的方式明确，补充条款与本合同具有同等的法律效力。</w:t>
      </w:r>
    </w:p>
    <w:p w14:paraId="4A4B1175">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4.</w:t>
      </w:r>
      <w:r>
        <w:rPr>
          <w:rFonts w:hint="eastAsia" w:ascii="微软雅黑" w:hAnsi="微软雅黑" w:eastAsia="微软雅黑" w:cs="微软雅黑"/>
          <w:sz w:val="24"/>
          <w:szCs w:val="24"/>
        </w:rPr>
        <w:t xml:space="preserve"> </w:t>
      </w: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送达地址以及送达条款</w:t>
      </w:r>
    </w:p>
    <w:p w14:paraId="3CE99F9A">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送达地址以及方式</w:t>
      </w:r>
    </w:p>
    <w:p w14:paraId="699CB893">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（一）送达地址</w:t>
      </w:r>
    </w:p>
    <w:p w14:paraId="3C61D33E">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甲方确认送达地址如下：</w:t>
      </w:r>
    </w:p>
    <w:p w14:paraId="0FF1C453">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49054C9D">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6B59002B">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5068695B">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509EAC16">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723CB4A3">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1DEAB998">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50DEB0BE">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0A2F4F87">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540AB41A">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39AC1CEB">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乙方确认送达地址如下：</w:t>
      </w:r>
    </w:p>
    <w:p w14:paraId="1ADE2430">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571EFD7C">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5AEF52CA">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2A47F9EF">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264C048B">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4D56FD3F">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1D3E2EEF">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759B4084">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600702E9">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08078156">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（二）送达方式</w:t>
      </w:r>
    </w:p>
    <w:p w14:paraId="22F967CE">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 双方同意，本合同项下的通知、函件、诉讼文书等文件，以下列方式送达对方：</w:t>
      </w:r>
    </w:p>
    <w:p w14:paraId="55102014">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直接送达：将文件送至对方指定的送达地址，视为已送达；</w:t>
      </w:r>
    </w:p>
    <w:p w14:paraId="66AB7BBA">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邮寄送达：将文件通过挂号信、特快专递等方式寄至对方指定的送达地址，以邮戳日期为准，视为已送达；</w:t>
      </w:r>
    </w:p>
    <w:p w14:paraId="5BB66DF4">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电子送达：将文件通过电子邮件、短信、微信等方式发送至对方指定的电子邮箱、手机号码等，发送成功即视为已送达。</w:t>
      </w:r>
    </w:p>
    <w:p w14:paraId="00A50C40">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送达条款</w:t>
      </w:r>
    </w:p>
    <w:p w14:paraId="56D3A839">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（一）本送达条款适用于合同履行履行期间及合同纠纷解决过程中的所有文件送达。</w:t>
      </w:r>
    </w:p>
    <w:p w14:paraId="10E97CA9">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8601830">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（三）双方在合同履行过程中由双方共同明示或默示确认的合同约定外的送达地址和联系方式不影响送达效力。</w:t>
      </w:r>
    </w:p>
    <w:p w14:paraId="498CDD80">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3C1A5F34">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5AC3105A">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08572AF5">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擅自变更送达地址及信息且未及时通知对方的；</w:t>
      </w:r>
    </w:p>
    <w:p w14:paraId="1317BFD0">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送达地址与信息同工商登记信息不一致且未及时更改的；</w:t>
      </w:r>
    </w:p>
    <w:p w14:paraId="11265AFE">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077D803E">
      <w:pPr>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因接收方过错造成无法正常送达的其他行为。</w:t>
      </w:r>
    </w:p>
    <w:p w14:paraId="5F9E989D">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2519CD8">
      <w:pPr>
        <w:numPr>
          <w:ilvl w:val="0"/>
          <w:numId w:val="1"/>
        </w:numPr>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特别约定</w:t>
      </w:r>
    </w:p>
    <w:p w14:paraId="6FFAF431">
      <w:pPr>
        <w:numPr>
          <w:ilvl w:val="0"/>
          <w:numId w:val="7"/>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p w14:paraId="0976E0F5">
      <w:pPr>
        <w:numPr>
          <w:ilvl w:val="0"/>
          <w:numId w:val="7"/>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p w14:paraId="30A0D2DF">
      <w:pPr>
        <w:numPr>
          <w:ilvl w:val="0"/>
          <w:numId w:val="7"/>
        </w:num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w:t>
      </w:r>
    </w:p>
    <w:p w14:paraId="24C693DF">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123AA33">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00455EB7">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04F5373">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甲方（盖章）：</w:t>
      </w:r>
    </w:p>
    <w:p w14:paraId="7E410265">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F05DDEF">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F1FD458">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322087D">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0BAC790F">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法定代表人（签字）： </w:t>
      </w:r>
    </w:p>
    <w:p w14:paraId="72ACD929">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委托代理人（签字）：  </w:t>
      </w:r>
    </w:p>
    <w:p w14:paraId="6C13FA3F">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5742292">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35F133A">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合同签订日期：</w:t>
      </w:r>
    </w:p>
    <w:p w14:paraId="51719041">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合同签订地点：</w:t>
      </w:r>
    </w:p>
    <w:p w14:paraId="0CB7F4F1">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83C878A">
      <w:pPr>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sectPr>
      <w:headerReference r:id="rId3" w:type="default"/>
      <w:footerReference r:id="rId4" w:type="default"/>
      <w:footerReference r:id="rId5" w:type="even"/>
      <w:endnotePr>
        <w:numFmt w:val="decimal"/>
      </w:endnotePr>
      <w:pgSz w:w="11906" w:h="16838"/>
      <w:pgMar w:top="1558" w:right="1701" w:bottom="1843" w:left="1701" w:header="851" w:footer="85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EF7A9">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C53C89">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9</w:t>
                          </w:r>
                          <w:r>
                            <w:rPr>
                              <w:rFonts w:hint="eastAsia"/>
                            </w:rPr>
                            <w:fldChar w:fldCharType="end"/>
                          </w:r>
                          <w:r>
                            <w:rPr>
                              <w:rFonts w:hint="eastAsia"/>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77C53C89">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9</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14F80">
    <w:pPr>
      <w:pStyle w:val="2"/>
      <w:framePr w:wrap="around" w:vAnchor="text" w:hAnchor="margin" w:xAlign="center" w:y="1"/>
      <w:rPr>
        <w:rStyle w:val="7"/>
      </w:rPr>
    </w:pPr>
    <w:r>
      <w:fldChar w:fldCharType="begin"/>
    </w:r>
    <w:r>
      <w:rPr>
        <w:rStyle w:val="7"/>
      </w:rPr>
      <w:instrText xml:space="preserve">PAGE  </w:instrText>
    </w:r>
    <w:r>
      <w:fldChar w:fldCharType="end"/>
    </w:r>
  </w:p>
  <w:p w14:paraId="2753AEAE">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7D039">
    <w:pPr>
      <w:pStyle w:val="3"/>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83E8C"/>
    <w:multiLevelType w:val="singleLevel"/>
    <w:tmpl w:val="BAC83E8C"/>
    <w:lvl w:ilvl="0" w:tentative="0">
      <w:start w:val="1"/>
      <w:numFmt w:val="decimal"/>
      <w:suff w:val="nothing"/>
      <w:lvlText w:val="%1．"/>
      <w:lvlJc w:val="left"/>
      <w:pPr>
        <w:ind w:left="0" w:firstLine="400"/>
      </w:pPr>
      <w:rPr>
        <w:rFonts w:hint="default"/>
      </w:rPr>
    </w:lvl>
  </w:abstractNum>
  <w:abstractNum w:abstractNumId="1">
    <w:nsid w:val="D3078C48"/>
    <w:multiLevelType w:val="singleLevel"/>
    <w:tmpl w:val="D3078C48"/>
    <w:lvl w:ilvl="0" w:tentative="0">
      <w:start w:val="1"/>
      <w:numFmt w:val="decimal"/>
      <w:suff w:val="nothing"/>
      <w:lvlText w:val="%1．"/>
      <w:lvlJc w:val="left"/>
      <w:pPr>
        <w:ind w:left="70" w:firstLine="400"/>
      </w:pPr>
      <w:rPr>
        <w:rFonts w:hint="default"/>
      </w:rPr>
    </w:lvl>
  </w:abstractNum>
  <w:abstractNum w:abstractNumId="2">
    <w:nsid w:val="058792E6"/>
    <w:multiLevelType w:val="singleLevel"/>
    <w:tmpl w:val="058792E6"/>
    <w:lvl w:ilvl="0" w:tentative="0">
      <w:start w:val="2"/>
      <w:numFmt w:val="decimal"/>
      <w:suff w:val="nothing"/>
      <w:lvlText w:val="%1．"/>
      <w:lvlJc w:val="left"/>
      <w:pPr>
        <w:ind w:left="0" w:firstLine="403"/>
      </w:pPr>
      <w:rPr>
        <w:rFonts w:hint="default"/>
      </w:rPr>
    </w:lvl>
  </w:abstractNum>
  <w:abstractNum w:abstractNumId="3">
    <w:nsid w:val="4F79E0DF"/>
    <w:multiLevelType w:val="singleLevel"/>
    <w:tmpl w:val="4F79E0DF"/>
    <w:lvl w:ilvl="0" w:tentative="0">
      <w:start w:val="1"/>
      <w:numFmt w:val="decimal"/>
      <w:suff w:val="nothing"/>
      <w:lvlText w:val="%1．"/>
      <w:lvlJc w:val="left"/>
      <w:pPr>
        <w:ind w:left="0" w:firstLine="400"/>
      </w:pPr>
      <w:rPr>
        <w:rFonts w:hint="default"/>
      </w:rPr>
    </w:lvl>
  </w:abstractNum>
  <w:abstractNum w:abstractNumId="4">
    <w:nsid w:val="55562493"/>
    <w:multiLevelType w:val="singleLevel"/>
    <w:tmpl w:val="55562493"/>
    <w:lvl w:ilvl="0" w:tentative="0">
      <w:start w:val="1"/>
      <w:numFmt w:val="decimal"/>
      <w:suff w:val="nothing"/>
      <w:lvlText w:val="%1．"/>
      <w:lvlJc w:val="left"/>
      <w:pPr>
        <w:ind w:left="0" w:firstLine="400"/>
      </w:pPr>
      <w:rPr>
        <w:rFonts w:hint="default"/>
      </w:rPr>
    </w:lvl>
  </w:abstractNum>
  <w:abstractNum w:abstractNumId="5">
    <w:nsid w:val="663ADD2E"/>
    <w:multiLevelType w:val="singleLevel"/>
    <w:tmpl w:val="663ADD2E"/>
    <w:lvl w:ilvl="0" w:tentative="0">
      <w:start w:val="1"/>
      <w:numFmt w:val="decimal"/>
      <w:suff w:val="space"/>
      <w:lvlText w:val="%1."/>
      <w:lvlJc w:val="left"/>
    </w:lvl>
  </w:abstractNum>
  <w:abstractNum w:abstractNumId="6">
    <w:nsid w:val="784EE30A"/>
    <w:multiLevelType w:val="singleLevel"/>
    <w:tmpl w:val="784EE30A"/>
    <w:lvl w:ilvl="0" w:tentative="0">
      <w:start w:val="1"/>
      <w:numFmt w:val="chineseCounting"/>
      <w:suff w:val="nothing"/>
      <w:lvlText w:val="%1、"/>
      <w:lvlJc w:val="left"/>
      <w:pPr>
        <w:ind w:left="0" w:firstLine="420"/>
      </w:pPr>
      <w:rPr>
        <w:rFonts w:hint="eastAsia"/>
      </w:rPr>
    </w:lvl>
  </w:abstractNum>
  <w:num w:numId="1">
    <w:abstractNumId w:val="6"/>
  </w:num>
  <w:num w:numId="2">
    <w:abstractNumId w:val="4"/>
  </w:num>
  <w:num w:numId="3">
    <w:abstractNumId w:val="3"/>
  </w:num>
  <w:num w:numId="4">
    <w:abstractNumId w:val="0"/>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4B4F61"/>
    <w:rsid w:val="003138E6"/>
    <w:rsid w:val="009839CC"/>
    <w:rsid w:val="00F16FA0"/>
    <w:rsid w:val="053F5733"/>
    <w:rsid w:val="3BCD7E44"/>
    <w:rsid w:val="53385672"/>
    <w:rsid w:val="5C6C49BB"/>
    <w:rsid w:val="71815E20"/>
    <w:rsid w:val="71DB4EEC"/>
    <w:rsid w:val="7ACC2F08"/>
    <w:rsid w:val="7F4B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3794</Words>
  <Characters>3803</Characters>
  <Lines>30</Lines>
  <Paragraphs>8</Paragraphs>
  <TotalTime>2</TotalTime>
  <ScaleCrop>false</ScaleCrop>
  <LinksUpToDate>false</LinksUpToDate>
  <CharactersWithSpaces>4093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2021-05-28T04:38:00Z</dcterms:created>
  <dc:creator>真宇律师</dc:creator>
  <cp:lastModifiedBy>豪</cp:lastModifiedBy>
  <dcterms:modified xsi:type="dcterms:W3CDTF">2026-03-22T07:07:03Z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3D9664ED808B49B98AE8352370F4EC61</vt:lpwstr>
  </property>
  <property fmtid="{D5CDD505-2E9C-101B-9397-08002B2CF9AE}" pid="4" name="KSOTemplateDocerSaveRecord">
    <vt:lpwstr>eyJoZGlkIjoiNTg0MzMyNGJiMDEzODc5ODNlMGVjODViOWRkZjg1MDgiLCJ1c2VySWQiOiIxMjc2Mzc3NjgxIn0=</vt:lpwstr>
  </property>
</Properties>
</file>