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63DAE">
      <w:pPr>
        <w:pStyle w:val="2"/>
        <w:spacing w:before="0" w:after="0" w:line="360" w:lineRule="auto"/>
        <w:ind w:firstLine="720" w:firstLineChars="200"/>
        <w:rPr>
          <w:rFonts w:hint="eastAsia" w:ascii="微软雅黑" w:hAnsi="微软雅黑" w:eastAsia="微软雅黑" w:cs="微软雅黑"/>
          <w:color w:val="000000"/>
          <w:sz w:val="36"/>
          <w:szCs w:val="36"/>
        </w:rPr>
      </w:pPr>
      <w:bookmarkStart w:id="0" w:name="_GoBack"/>
      <w:r>
        <w:rPr>
          <w:rFonts w:hint="eastAsia" w:ascii="微软雅黑" w:hAnsi="微软雅黑" w:eastAsia="微软雅黑" w:cs="微软雅黑"/>
          <w:color w:val="000000"/>
          <w:sz w:val="36"/>
          <w:szCs w:val="36"/>
        </w:rPr>
        <w:t>玻璃购销合同</w:t>
      </w:r>
    </w:p>
    <w:bookmarkEnd w:id="0"/>
    <w:p w14:paraId="6482D44D">
      <w:pPr>
        <w:pStyle w:val="4"/>
        <w:spacing w:before="312" w:beforeLines="100" w:line="360" w:lineRule="auto"/>
        <w:ind w:firstLine="480" w:firstLineChars="200"/>
        <w:jc w:val="right"/>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合同编号：______________</w:t>
      </w:r>
    </w:p>
    <w:p w14:paraId="27F151DC">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甲方：</w:t>
      </w:r>
      <w:r>
        <w:rPr>
          <w:rFonts w:hint="eastAsia" w:ascii="微软雅黑" w:hAnsi="微软雅黑" w:eastAsia="微软雅黑" w:cs="微软雅黑"/>
          <w:color w:val="000000"/>
          <w:sz w:val="24"/>
          <w:szCs w:val="24"/>
          <w:u w:val="single"/>
        </w:rPr>
        <w:t>                    </w:t>
      </w:r>
    </w:p>
    <w:p w14:paraId="44B3887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70E22DD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6AE7BC81">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w:t>
      </w:r>
      <w:r>
        <w:rPr>
          <w:rFonts w:hint="eastAsia" w:ascii="微软雅黑" w:hAnsi="微软雅黑" w:eastAsia="微软雅黑" w:cs="微软雅黑"/>
          <w:color w:val="000000"/>
          <w:sz w:val="24"/>
          <w:szCs w:val="24"/>
          <w:u w:val="single"/>
        </w:rPr>
        <w:t>                    </w:t>
      </w:r>
    </w:p>
    <w:p w14:paraId="6ACC39A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6975029">
      <w:pPr>
        <w:pStyle w:val="4"/>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37FD13E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依照《中华人民共和国合同法》，上述双方经友好协商，甲方同意向乙方购买</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工程所用玻璃，并就该工程所用玻璃事宜及有关条款签订本合同，共同严格履行：</w:t>
      </w:r>
    </w:p>
    <w:p w14:paraId="118E59AA">
      <w:pPr>
        <w:pStyle w:val="4"/>
        <w:spacing w:before="0"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第一条</w:t>
      </w:r>
      <w:r>
        <w:rPr>
          <w:rFonts w:hint="eastAsia" w:ascii="微软雅黑" w:hAnsi="微软雅黑" w:eastAsia="微软雅黑" w:cs="微软雅黑"/>
          <w:b/>
          <w:color w:val="000000"/>
          <w:sz w:val="24"/>
          <w:szCs w:val="24"/>
        </w:rPr>
        <w:t xml:space="preserve">  货品名称、型号、数量、单价、总价</w:t>
      </w:r>
    </w:p>
    <w:tbl>
      <w:tblPr>
        <w:tblStyle w:val="17"/>
        <w:tblW w:w="5000" w:type="pct"/>
        <w:tblInd w:w="0" w:type="dxa"/>
        <w:tblLayout w:type="autofit"/>
        <w:tblCellMar>
          <w:top w:w="0" w:type="dxa"/>
          <w:left w:w="108" w:type="dxa"/>
          <w:bottom w:w="0" w:type="dxa"/>
          <w:right w:w="108" w:type="dxa"/>
        </w:tblCellMar>
      </w:tblPr>
      <w:tblGrid>
        <w:gridCol w:w="1647"/>
        <w:gridCol w:w="242"/>
        <w:gridCol w:w="1952"/>
        <w:gridCol w:w="1713"/>
        <w:gridCol w:w="1587"/>
        <w:gridCol w:w="1381"/>
      </w:tblGrid>
      <w:tr w14:paraId="6760B01C">
        <w:tblPrEx>
          <w:tblCellMar>
            <w:top w:w="0" w:type="dxa"/>
            <w:left w:w="108" w:type="dxa"/>
            <w:bottom w:w="0" w:type="dxa"/>
            <w:right w:w="108" w:type="dxa"/>
          </w:tblCellMar>
        </w:tblPrEx>
        <w:tc>
          <w:tcPr>
            <w:tcW w:w="1109" w:type="pct"/>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39E5E1C">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序号</w:t>
            </w:r>
          </w:p>
        </w:tc>
        <w:tc>
          <w:tcPr>
            <w:tcW w:w="1145"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96BDC04">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产品结构</w:t>
            </w:r>
          </w:p>
        </w:tc>
        <w:tc>
          <w:tcPr>
            <w:tcW w:w="1005"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B92D792">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面积(立方米)</w:t>
            </w:r>
          </w:p>
        </w:tc>
        <w:tc>
          <w:tcPr>
            <w:tcW w:w="93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95BD7F4">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单价(元/立方米)</w:t>
            </w:r>
          </w:p>
        </w:tc>
        <w:tc>
          <w:tcPr>
            <w:tcW w:w="810"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31DD228">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总价（元）</w:t>
            </w:r>
          </w:p>
        </w:tc>
      </w:tr>
      <w:tr w14:paraId="537935F6">
        <w:tblPrEx>
          <w:tblCellMar>
            <w:top w:w="0" w:type="dxa"/>
            <w:left w:w="108" w:type="dxa"/>
            <w:bottom w:w="0" w:type="dxa"/>
            <w:right w:w="108" w:type="dxa"/>
          </w:tblCellMar>
        </w:tblPrEx>
        <w:tc>
          <w:tcPr>
            <w:tcW w:w="1109" w:type="pct"/>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7BFAC83">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1</w:t>
            </w:r>
          </w:p>
        </w:tc>
        <w:tc>
          <w:tcPr>
            <w:tcW w:w="1145"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822918D">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005"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10B6EAB">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93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12A04E4">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810"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C478251">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r>
      <w:tr w14:paraId="698A33DC">
        <w:tblPrEx>
          <w:tblCellMar>
            <w:top w:w="0" w:type="dxa"/>
            <w:left w:w="108" w:type="dxa"/>
            <w:bottom w:w="0" w:type="dxa"/>
            <w:right w:w="108" w:type="dxa"/>
          </w:tblCellMar>
        </w:tblPrEx>
        <w:tc>
          <w:tcPr>
            <w:tcW w:w="1109" w:type="pct"/>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8861451">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2</w:t>
            </w:r>
          </w:p>
        </w:tc>
        <w:tc>
          <w:tcPr>
            <w:tcW w:w="1145"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B463ED9">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005"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EB14B6E">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931"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B968956">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810"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C4BADBF">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r>
      <w:tr w14:paraId="18DB19D0">
        <w:tblPrEx>
          <w:tblCellMar>
            <w:top w:w="0" w:type="dxa"/>
            <w:left w:w="108" w:type="dxa"/>
            <w:bottom w:w="0" w:type="dxa"/>
            <w:right w:w="108" w:type="dxa"/>
          </w:tblCellMar>
        </w:tblPrEx>
        <w:tc>
          <w:tcPr>
            <w:tcW w:w="5000" w:type="pct"/>
            <w:gridSpan w:val="6"/>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D5961FD">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 xml:space="preserve">合计金额（大写）： </w:t>
            </w:r>
            <w:r>
              <w:rPr>
                <w:rFonts w:hint="eastAsia" w:ascii="微软雅黑" w:hAnsi="微软雅黑" w:eastAsia="微软雅黑" w:cs="微软雅黑"/>
                <w:color w:val="000000"/>
                <w:kern w:val="0"/>
                <w:sz w:val="24"/>
                <w:szCs w:val="24"/>
              </w:rPr>
              <w:t xml:space="preserve">                                  </w:t>
            </w:r>
            <w:r>
              <w:rPr>
                <w:rFonts w:hint="eastAsia" w:ascii="微软雅黑" w:hAnsi="微软雅黑" w:eastAsia="微软雅黑" w:cs="微软雅黑"/>
                <w:color w:val="000000"/>
                <w:kern w:val="0"/>
                <w:sz w:val="24"/>
                <w:szCs w:val="24"/>
              </w:rPr>
              <w:t xml:space="preserve">（￥ </w:t>
            </w:r>
            <w:r>
              <w:rPr>
                <w:rFonts w:hint="eastAsia" w:ascii="微软雅黑" w:hAnsi="微软雅黑" w:eastAsia="微软雅黑" w:cs="微软雅黑"/>
                <w:color w:val="000000"/>
                <w:kern w:val="0"/>
                <w:sz w:val="24"/>
                <w:szCs w:val="24"/>
              </w:rPr>
              <w:t xml:space="preserve">       </w:t>
            </w:r>
            <w:r>
              <w:rPr>
                <w:rFonts w:hint="eastAsia" w:ascii="微软雅黑" w:hAnsi="微软雅黑" w:eastAsia="微软雅黑" w:cs="微软雅黑"/>
                <w:color w:val="000000"/>
                <w:kern w:val="0"/>
                <w:sz w:val="24"/>
                <w:szCs w:val="24"/>
              </w:rPr>
              <w:t>元）</w:t>
            </w:r>
          </w:p>
        </w:tc>
      </w:tr>
      <w:tr w14:paraId="32FD9519">
        <w:tblPrEx>
          <w:tblCellMar>
            <w:top w:w="0" w:type="dxa"/>
            <w:left w:w="108" w:type="dxa"/>
            <w:bottom w:w="0" w:type="dxa"/>
            <w:right w:w="108" w:type="dxa"/>
          </w:tblCellMar>
        </w:tblPrEx>
        <w:tc>
          <w:tcPr>
            <w:tcW w:w="96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8A2DC04">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kern w:val="0"/>
                <w:sz w:val="24"/>
                <w:szCs w:val="24"/>
              </w:rPr>
              <w:t>备注</w:t>
            </w:r>
          </w:p>
        </w:tc>
        <w:tc>
          <w:tcPr>
            <w:tcW w:w="4033" w:type="pct"/>
            <w:gridSpan w:val="5"/>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3E0B9EC">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1）本合同所订数量为暂定数，结算时按实际发货数量计算总价。</w:t>
            </w:r>
          </w:p>
          <w:p w14:paraId="7205508B">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2）异型面积实际面积计算；如需钻孔则钻孔费另计。以上价格为市内甲方本合同工地交货价格</w:t>
            </w:r>
            <w:r>
              <w:rPr>
                <w:rFonts w:hint="eastAsia" w:ascii="微软雅黑" w:hAnsi="微软雅黑" w:eastAsia="微软雅黑" w:cs="微软雅黑"/>
                <w:color w:val="000000"/>
                <w:sz w:val="24"/>
                <w:szCs w:val="24"/>
              </w:rPr>
              <w:t>，卸货由甲方负责</w:t>
            </w:r>
            <w:r>
              <w:rPr>
                <w:rFonts w:hint="eastAsia" w:ascii="微软雅黑" w:hAnsi="微软雅黑" w:eastAsia="微软雅黑" w:cs="微软雅黑"/>
                <w:color w:val="000000"/>
                <w:sz w:val="24"/>
                <w:szCs w:val="24"/>
              </w:rPr>
              <w:t>。</w:t>
            </w:r>
          </w:p>
          <w:p w14:paraId="420A34D5">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3）玻璃下单切裁率在85%以上。</w:t>
            </w:r>
          </w:p>
          <w:p w14:paraId="58AFDCC5">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4）所有产品和封样一样并采用</w:t>
            </w:r>
            <w:r>
              <w:rPr>
                <w:rFonts w:hint="eastAsia" w:ascii="微软雅黑" w:hAnsi="微软雅黑" w:eastAsia="微软雅黑" w:cs="微软雅黑"/>
                <w:color w:val="000000"/>
                <w:sz w:val="24"/>
                <w:szCs w:val="24"/>
              </w:rPr>
              <w:t>玻璃</w:t>
            </w:r>
            <w:r>
              <w:rPr>
                <w:rFonts w:hint="eastAsia" w:ascii="微软雅黑" w:hAnsi="微软雅黑" w:eastAsia="微软雅黑" w:cs="微软雅黑"/>
                <w:color w:val="000000"/>
                <w:sz w:val="24"/>
                <w:szCs w:val="24"/>
              </w:rPr>
              <w:t>原片加工。</w:t>
            </w:r>
          </w:p>
          <w:p w14:paraId="1485C2FD">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5）硅酮胶改为结构胶</w:t>
            </w:r>
            <w:r>
              <w:rPr>
                <w:rFonts w:hint="eastAsia" w:ascii="微软雅黑" w:hAnsi="微软雅黑" w:eastAsia="微软雅黑" w:cs="微软雅黑"/>
                <w:color w:val="000000"/>
                <w:sz w:val="24"/>
                <w:szCs w:val="24"/>
              </w:rPr>
              <w:t>，每平方米</w:t>
            </w:r>
            <w:r>
              <w:rPr>
                <w:rFonts w:hint="eastAsia" w:ascii="微软雅黑" w:hAnsi="微软雅黑" w:eastAsia="微软雅黑" w:cs="微软雅黑"/>
                <w:color w:val="000000"/>
                <w:sz w:val="24"/>
                <w:szCs w:val="24"/>
              </w:rPr>
              <w:t>加10元。</w:t>
            </w:r>
          </w:p>
          <w:p w14:paraId="30D21379">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6）产品小于等于0.5</w:t>
            </w:r>
            <w:r>
              <w:rPr>
                <w:rFonts w:hint="eastAsia" w:ascii="微软雅黑" w:hAnsi="微软雅黑" w:eastAsia="微软雅黑" w:cs="微软雅黑"/>
                <w:color w:val="000000"/>
                <w:sz w:val="24"/>
                <w:szCs w:val="24"/>
              </w:rPr>
              <w:t>平方米</w:t>
            </w:r>
            <w:r>
              <w:rPr>
                <w:rFonts w:hint="eastAsia" w:ascii="微软雅黑" w:hAnsi="微软雅黑" w:eastAsia="微软雅黑" w:cs="微软雅黑"/>
                <w:color w:val="000000"/>
                <w:sz w:val="24"/>
                <w:szCs w:val="24"/>
              </w:rPr>
              <w:t>的按0.5计算，大小片按大片面积计算。</w:t>
            </w:r>
          </w:p>
          <w:p w14:paraId="44E73CAD">
            <w:pPr>
              <w:pStyle w:val="4"/>
              <w:spacing w:before="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矩</w:t>
            </w:r>
            <w:r>
              <w:rPr>
                <w:rFonts w:hint="eastAsia" w:ascii="微软雅黑" w:hAnsi="微软雅黑" w:eastAsia="微软雅黑" w:cs="微软雅黑"/>
                <w:color w:val="000000"/>
                <w:sz w:val="24"/>
                <w:szCs w:val="24"/>
              </w:rPr>
              <w:t>形按最小矩形面积计算。</w:t>
            </w:r>
          </w:p>
        </w:tc>
      </w:tr>
    </w:tbl>
    <w:p w14:paraId="3CE1DEA8">
      <w:pPr>
        <w:pStyle w:val="4"/>
        <w:spacing w:before="156" w:beforeLines="50"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第二条</w:t>
      </w:r>
      <w:r>
        <w:rPr>
          <w:rFonts w:hint="eastAsia" w:ascii="微软雅黑" w:hAnsi="微软雅黑" w:eastAsia="微软雅黑" w:cs="微软雅黑"/>
          <w:b/>
          <w:color w:val="000000"/>
          <w:sz w:val="24"/>
          <w:szCs w:val="24"/>
        </w:rPr>
        <w:t xml:space="preserve">  交货期</w:t>
      </w:r>
    </w:p>
    <w:p w14:paraId="3CB546A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w:t>
      </w:r>
      <w:r>
        <w:rPr>
          <w:rFonts w:hint="eastAsia" w:ascii="微软雅黑" w:hAnsi="微软雅黑" w:eastAsia="微软雅黑" w:cs="微软雅黑"/>
          <w:color w:val="000000"/>
          <w:sz w:val="24"/>
          <w:szCs w:val="24"/>
        </w:rPr>
        <w:t>合同交货期起始时间约定：</w:t>
      </w:r>
    </w:p>
    <w:p w14:paraId="40A38C22">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（1）自甲乙双方在本合同上签字盖章；</w:t>
      </w:r>
    </w:p>
    <w:p w14:paraId="1C7EAFB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（2）乙方收到甲方的合同订金；</w:t>
      </w:r>
    </w:p>
    <w:p w14:paraId="4DD72E2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（3）甲方提供确认的不可变更的尺寸、图纸之日起计算。</w:t>
      </w:r>
    </w:p>
    <w:p w14:paraId="3809146F">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注：在执行合同过程中，若甲方提供尺寸、图纸超出合同约定加工质量标准，或超出乙方设备加工能力，则该批量交货期起始时间以甲乙双方最终确认后的不可变更的尺寸图纸之日起计算。</w:t>
      </w:r>
    </w:p>
    <w:p w14:paraId="76FCBE91">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w:t>
      </w:r>
      <w:r>
        <w:rPr>
          <w:rFonts w:hint="eastAsia" w:ascii="微软雅黑" w:hAnsi="微软雅黑" w:eastAsia="微软雅黑" w:cs="微软雅黑"/>
          <w:color w:val="000000"/>
          <w:sz w:val="24"/>
          <w:szCs w:val="24"/>
        </w:rPr>
        <w:t>合同交货期约定：</w:t>
      </w:r>
    </w:p>
    <w:p w14:paraId="20A23556">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（1）在合同执行达到上述第</w:t>
      </w:r>
      <w:r>
        <w:rPr>
          <w:rFonts w:hint="eastAsia" w:ascii="微软雅黑" w:hAnsi="微软雅黑" w:eastAsia="微软雅黑" w:cs="微软雅黑"/>
          <w:color w:val="000000"/>
          <w:sz w:val="24"/>
          <w:szCs w:val="24"/>
        </w:rPr>
        <w:t>一</w:t>
      </w:r>
      <w:r>
        <w:rPr>
          <w:rFonts w:hint="eastAsia" w:ascii="微软雅黑" w:hAnsi="微软雅黑" w:eastAsia="微软雅黑" w:cs="微软雅黑"/>
          <w:color w:val="000000"/>
          <w:sz w:val="24"/>
          <w:szCs w:val="24"/>
        </w:rPr>
        <w:t>条</w:t>
      </w:r>
      <w:r>
        <w:rPr>
          <w:rFonts w:hint="eastAsia" w:ascii="微软雅黑" w:hAnsi="微软雅黑" w:eastAsia="微软雅黑" w:cs="微软雅黑"/>
          <w:color w:val="000000"/>
          <w:sz w:val="24"/>
          <w:szCs w:val="24"/>
        </w:rPr>
        <w:t>第</w:t>
      </w:r>
      <w:r>
        <w:rPr>
          <w:rFonts w:hint="eastAsia" w:ascii="微软雅黑" w:hAnsi="微软雅黑" w:eastAsia="微软雅黑" w:cs="微软雅黑"/>
          <w:color w:val="000000"/>
          <w:sz w:val="24"/>
          <w:szCs w:val="24"/>
        </w:rPr>
        <w:t>1、2款约定条件；</w:t>
      </w:r>
    </w:p>
    <w:p w14:paraId="103CEFF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（2）甲方须在本合同签订后二日内提供经甲方确认的不可变更的尺寸和图纸并每页签上名字和日期，以及后续批次下单数量、下单时间（多批次下单）。</w:t>
      </w:r>
    </w:p>
    <w:p w14:paraId="40C41C0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（3）乙方按甲方下单批次送货，首批玻璃产品（约m2）于</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日内开始交货，每批下单产品于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日内交完（生产过程零星补片除外）。</w:t>
      </w:r>
    </w:p>
    <w:p w14:paraId="7F7CB14A">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（4）如甲方不能在本合同签订后</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日内提供经甲乙双方确认的不可变更的首批尺寸及图纸或不能明确后续批次下单时间、下单数量的，则本合同每批次交货期按</w:t>
      </w:r>
      <w:r>
        <w:rPr>
          <w:rFonts w:hint="eastAsia" w:ascii="微软雅黑" w:hAnsi="微软雅黑" w:eastAsia="微软雅黑" w:cs="微软雅黑"/>
          <w:color w:val="000000"/>
          <w:sz w:val="24"/>
          <w:szCs w:val="24"/>
        </w:rPr>
        <w:t>实际提供</w:t>
      </w:r>
      <w:r>
        <w:rPr>
          <w:rFonts w:hint="eastAsia" w:ascii="微软雅黑" w:hAnsi="微软雅黑" w:eastAsia="微软雅黑" w:cs="微软雅黑"/>
          <w:color w:val="000000"/>
          <w:sz w:val="24"/>
          <w:szCs w:val="24"/>
        </w:rPr>
        <w:t>日期后延。</w:t>
      </w:r>
    </w:p>
    <w:p w14:paraId="798BC79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（三）</w:t>
      </w:r>
      <w:r>
        <w:rPr>
          <w:rFonts w:hint="eastAsia" w:ascii="微软雅黑" w:hAnsi="微软雅黑" w:eastAsia="微软雅黑" w:cs="微软雅黑"/>
          <w:color w:val="000000"/>
          <w:sz w:val="24"/>
          <w:szCs w:val="24"/>
        </w:rPr>
        <w:t>交货地点：</w:t>
      </w:r>
      <w:r>
        <w:rPr>
          <w:rFonts w:hint="eastAsia" w:ascii="微软雅黑" w:hAnsi="微软雅黑" w:eastAsia="微软雅黑" w:cs="微软雅黑"/>
          <w:color w:val="000000"/>
          <w:sz w:val="24"/>
          <w:szCs w:val="24"/>
          <w:u w:val="single"/>
        </w:rPr>
        <w:t>                 </w:t>
      </w:r>
    </w:p>
    <w:p w14:paraId="386FF4CB">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收货人：</w:t>
      </w:r>
      <w:r>
        <w:rPr>
          <w:rFonts w:hint="eastAsia" w:ascii="微软雅黑" w:hAnsi="微软雅黑" w:eastAsia="微软雅黑" w:cs="微软雅黑"/>
          <w:color w:val="000000"/>
          <w:sz w:val="24"/>
          <w:szCs w:val="24"/>
          <w:u w:val="single"/>
        </w:rPr>
        <w:t>                    </w:t>
      </w:r>
    </w:p>
    <w:p w14:paraId="1109E29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w:t>
      </w:r>
      <w:r>
        <w:rPr>
          <w:rFonts w:hint="eastAsia" w:ascii="微软雅黑" w:hAnsi="微软雅黑" w:eastAsia="微软雅黑" w:cs="微软雅黑"/>
          <w:color w:val="000000"/>
          <w:sz w:val="24"/>
          <w:szCs w:val="24"/>
          <w:u w:val="single"/>
        </w:rPr>
        <w:t>                   </w:t>
      </w:r>
    </w:p>
    <w:p w14:paraId="777809B6">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付款方式：</w:t>
      </w:r>
      <w:r>
        <w:rPr>
          <w:rFonts w:hint="eastAsia" w:ascii="微软雅黑" w:hAnsi="微软雅黑" w:eastAsia="微软雅黑" w:cs="微软雅黑"/>
          <w:color w:val="000000"/>
          <w:sz w:val="24"/>
          <w:szCs w:val="24"/>
          <w:u w:val="single"/>
        </w:rPr>
        <w:t>                   </w:t>
      </w:r>
    </w:p>
    <w:p w14:paraId="350B4162">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甲乙双方合同签订后，</w:t>
      </w:r>
    </w:p>
    <w:p w14:paraId="1912AAF1">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（1）每</w:t>
      </w:r>
      <w:r>
        <w:rPr>
          <w:rFonts w:hint="eastAsia" w:ascii="微软雅黑" w:hAnsi="微软雅黑" w:eastAsia="微软雅黑" w:cs="微软雅黑"/>
          <w:color w:val="000000"/>
          <w:sz w:val="24"/>
          <w:szCs w:val="24"/>
        </w:rPr>
        <w:t>次</w:t>
      </w:r>
      <w:r>
        <w:rPr>
          <w:rFonts w:hint="eastAsia" w:ascii="微软雅黑" w:hAnsi="微软雅黑" w:eastAsia="微软雅黑" w:cs="微软雅黑"/>
          <w:color w:val="000000"/>
          <w:sz w:val="24"/>
          <w:szCs w:val="24"/>
        </w:rPr>
        <w:t>货到工地结货款，订金在最后一批货款中扣除。（零星补片除外），最后补片(</w:t>
      </w:r>
      <w:r>
        <w:rPr>
          <w:rFonts w:hint="eastAsia" w:ascii="微软雅黑" w:hAnsi="微软雅黑" w:eastAsia="微软雅黑" w:cs="微软雅黑"/>
          <w:color w:val="000000"/>
          <w:sz w:val="24"/>
          <w:szCs w:val="24"/>
        </w:rPr>
        <w:t>平方米</w:t>
      </w:r>
      <w:r>
        <w:rPr>
          <w:rFonts w:hint="eastAsia" w:ascii="微软雅黑" w:hAnsi="微软雅黑" w:eastAsia="微软雅黑" w:cs="微软雅黑"/>
          <w:color w:val="000000"/>
          <w:sz w:val="24"/>
          <w:szCs w:val="24"/>
        </w:rPr>
        <w:t>以上厂家免费送货)</w:t>
      </w:r>
    </w:p>
    <w:p w14:paraId="7B63EB5E">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（2）乙方必须提供增值税</w:t>
      </w:r>
      <w:r>
        <w:rPr>
          <w:rFonts w:hint="eastAsia" w:ascii="微软雅黑" w:hAnsi="微软雅黑" w:eastAsia="微软雅黑" w:cs="微软雅黑"/>
          <w:color w:val="000000"/>
          <w:sz w:val="24"/>
          <w:szCs w:val="24"/>
        </w:rPr>
        <w:t>专用</w:t>
      </w:r>
      <w:r>
        <w:rPr>
          <w:rFonts w:hint="eastAsia" w:ascii="微软雅黑" w:hAnsi="微软雅黑" w:eastAsia="微软雅黑" w:cs="微软雅黑"/>
          <w:color w:val="000000"/>
          <w:sz w:val="24"/>
          <w:szCs w:val="24"/>
        </w:rPr>
        <w:t>发票</w:t>
      </w:r>
    </w:p>
    <w:p w14:paraId="67C062F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（3）货款支付：电汇、现金。</w:t>
      </w:r>
    </w:p>
    <w:p w14:paraId="6885BBE4">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 xml:space="preserve">第三条 </w:t>
      </w:r>
      <w:r>
        <w:rPr>
          <w:rFonts w:hint="eastAsia" w:ascii="微软雅黑" w:hAnsi="微软雅黑" w:eastAsia="微软雅黑" w:cs="微软雅黑"/>
          <w:b/>
          <w:color w:val="000000"/>
          <w:sz w:val="24"/>
          <w:szCs w:val="24"/>
        </w:rPr>
        <w:t xml:space="preserve"> 质量标准</w:t>
      </w:r>
    </w:p>
    <w:p w14:paraId="230EE8E3">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w:t>
      </w:r>
      <w:r>
        <w:rPr>
          <w:rFonts w:hint="eastAsia" w:ascii="微软雅黑" w:hAnsi="微软雅黑" w:eastAsia="微软雅黑" w:cs="微软雅黑"/>
          <w:color w:val="000000"/>
          <w:sz w:val="24"/>
          <w:szCs w:val="24"/>
        </w:rPr>
        <w:t>玻璃质量标准符合国标。</w:t>
      </w:r>
    </w:p>
    <w:p w14:paraId="46D2AC0B">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w:t>
      </w:r>
      <w:r>
        <w:rPr>
          <w:rFonts w:hint="eastAsia" w:ascii="微软雅黑" w:hAnsi="微软雅黑" w:eastAsia="微软雅黑" w:cs="微软雅黑"/>
          <w:color w:val="000000"/>
          <w:sz w:val="24"/>
          <w:szCs w:val="24"/>
        </w:rPr>
        <w:t>玻璃尺寸误差范围按国标要求。</w:t>
      </w:r>
    </w:p>
    <w:p w14:paraId="484F319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（三）</w:t>
      </w:r>
      <w:r>
        <w:rPr>
          <w:rFonts w:hint="eastAsia" w:ascii="微软雅黑" w:hAnsi="微软雅黑" w:eastAsia="微软雅黑" w:cs="微软雅黑"/>
          <w:color w:val="000000"/>
          <w:sz w:val="24"/>
          <w:szCs w:val="24"/>
        </w:rPr>
        <w:t>玻璃的平整度达到国标。</w:t>
      </w:r>
    </w:p>
    <w:p w14:paraId="456D61E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 xml:space="preserve">第四条 </w:t>
      </w:r>
      <w:r>
        <w:rPr>
          <w:rFonts w:hint="eastAsia" w:ascii="微软雅黑" w:hAnsi="微软雅黑" w:eastAsia="微软雅黑" w:cs="微软雅黑"/>
          <w:b/>
          <w:color w:val="000000"/>
          <w:sz w:val="24"/>
          <w:szCs w:val="24"/>
        </w:rPr>
        <w:t xml:space="preserve"> 验收</w:t>
      </w:r>
    </w:p>
    <w:p w14:paraId="568A9DA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（一）乙方</w:t>
      </w:r>
      <w:r>
        <w:rPr>
          <w:rFonts w:hint="eastAsia" w:ascii="微软雅黑" w:hAnsi="微软雅黑" w:eastAsia="微软雅黑" w:cs="微软雅黑"/>
          <w:color w:val="000000"/>
          <w:sz w:val="24"/>
          <w:szCs w:val="24"/>
        </w:rPr>
        <w:t>第一批货</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需随附发货清单、《产品合格证</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质量保证书》、玻璃检测报告和企业资料一式三份原件给施工方。</w:t>
      </w:r>
    </w:p>
    <w:p w14:paraId="57243E61">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（二）乙方</w:t>
      </w:r>
      <w:r>
        <w:rPr>
          <w:rFonts w:hint="eastAsia" w:ascii="微软雅黑" w:hAnsi="微软雅黑" w:eastAsia="微软雅黑" w:cs="微软雅黑"/>
          <w:color w:val="000000"/>
          <w:sz w:val="24"/>
          <w:szCs w:val="24"/>
        </w:rPr>
        <w:t>每一批货到甲方工地，由甲乙双方共同验货，检查玻璃规格、数量、外观。验收不合格的玻璃，经乙方核实后（甲方需提供不合格玻璃的投诉函及电子照片邮至，否则视为验收合格），不合格玻璃随下一批补回相同数量的合格品。</w:t>
      </w:r>
    </w:p>
    <w:p w14:paraId="7A9B85C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 xml:space="preserve">第五条 </w:t>
      </w:r>
      <w:r>
        <w:rPr>
          <w:rFonts w:hint="eastAsia" w:ascii="微软雅黑" w:hAnsi="微软雅黑" w:eastAsia="微软雅黑" w:cs="微软雅黑"/>
          <w:b/>
          <w:color w:val="000000"/>
          <w:sz w:val="24"/>
          <w:szCs w:val="24"/>
        </w:rPr>
        <w:t xml:space="preserve"> 包装</w:t>
      </w:r>
    </w:p>
    <w:p w14:paraId="2CCCAC1B">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采用铁架包装，每批货物上订有箱卡，标明楼层、规格、尺寸、数量等。</w:t>
      </w:r>
    </w:p>
    <w:p w14:paraId="1ECED5C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第六条</w:t>
      </w:r>
      <w:r>
        <w:rPr>
          <w:rFonts w:hint="eastAsia" w:ascii="微软雅黑" w:hAnsi="微软雅黑" w:eastAsia="微软雅黑" w:cs="微软雅黑"/>
          <w:b/>
          <w:color w:val="000000"/>
          <w:sz w:val="24"/>
          <w:szCs w:val="24"/>
        </w:rPr>
        <w:t xml:space="preserve">  违约责任</w:t>
      </w:r>
    </w:p>
    <w:p w14:paraId="715D662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w:t>
      </w:r>
      <w:r>
        <w:rPr>
          <w:rFonts w:hint="eastAsia" w:ascii="微软雅黑" w:hAnsi="微软雅黑" w:eastAsia="微软雅黑" w:cs="微软雅黑"/>
          <w:color w:val="000000"/>
          <w:sz w:val="24"/>
          <w:szCs w:val="24"/>
        </w:rPr>
        <w:t>若乙方未能按本合同要求及时供货造成工期千分之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延误的，逾期交货超过一周，从第8天起每天须向甲方支付逾期交货部分货款千分之三的违约金，但累计处罚违约金总额不超过合同总金额的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68F239A8">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w:t>
      </w:r>
      <w:r>
        <w:rPr>
          <w:rFonts w:hint="eastAsia" w:ascii="微软雅黑" w:hAnsi="微软雅黑" w:eastAsia="微软雅黑" w:cs="微软雅黑"/>
          <w:color w:val="000000"/>
          <w:sz w:val="24"/>
          <w:szCs w:val="24"/>
        </w:rPr>
        <w:t>若甲方未能按合同规定及时付款，逾期付款一周，则从第8天起每天甲方须向乙方支付逾期交货部分货款的千分之三的违约金，但累计处罚违约金总额不超过合同总金额的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7819C5C3">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 xml:space="preserve">第七条 </w:t>
      </w:r>
      <w:r>
        <w:rPr>
          <w:rFonts w:hint="eastAsia" w:ascii="微软雅黑" w:hAnsi="微软雅黑" w:eastAsia="微软雅黑" w:cs="微软雅黑"/>
          <w:b/>
          <w:color w:val="000000"/>
          <w:sz w:val="24"/>
          <w:szCs w:val="24"/>
        </w:rPr>
        <w:t xml:space="preserve"> 不可抗力</w:t>
      </w:r>
    </w:p>
    <w:p w14:paraId="050C27F6">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甲乙双方的任何一方由于不可抗力的原因不能履行合同时，应</w:t>
      </w:r>
      <w:r>
        <w:rPr>
          <w:rFonts w:hint="eastAsia" w:ascii="微软雅黑" w:hAnsi="微软雅黑" w:eastAsia="微软雅黑" w:cs="微软雅黑"/>
          <w:color w:val="000000"/>
          <w:sz w:val="24"/>
          <w:szCs w:val="24"/>
        </w:rPr>
        <w:t>于</w:t>
      </w:r>
      <w:r>
        <w:rPr>
          <w:rFonts w:hint="eastAsia" w:ascii="微软雅黑" w:hAnsi="微软雅黑" w:eastAsia="微软雅黑" w:cs="微软雅黑"/>
          <w:sz w:val="24"/>
          <w:szCs w:val="24"/>
        </w:rPr>
        <w:t>五日内</w:t>
      </w:r>
      <w:r>
        <w:rPr>
          <w:rFonts w:hint="eastAsia" w:ascii="微软雅黑" w:hAnsi="微软雅黑" w:eastAsia="微软雅黑" w:cs="微软雅黑"/>
          <w:color w:val="000000"/>
          <w:sz w:val="24"/>
          <w:szCs w:val="24"/>
        </w:rPr>
        <w:t>向对方通报不能履行或不能完全履行的理由，以减轻可能给对方造成的损失，在取得有关机构证明以后，允许延期履行、部分履行或者不履行合同，并根据情况可部分或全部免予承担违约责任。</w:t>
      </w:r>
    </w:p>
    <w:p w14:paraId="03A75123">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 xml:space="preserve">第八条 </w:t>
      </w:r>
      <w:r>
        <w:rPr>
          <w:rFonts w:hint="eastAsia" w:ascii="微软雅黑" w:hAnsi="微软雅黑" w:eastAsia="微软雅黑" w:cs="微软雅黑"/>
          <w:b/>
          <w:color w:val="000000"/>
          <w:sz w:val="24"/>
          <w:szCs w:val="24"/>
        </w:rPr>
        <w:t xml:space="preserve"> 争议的解决</w:t>
      </w:r>
    </w:p>
    <w:p w14:paraId="6558B914">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凡因本合同引起的或与本合同有关的任何争议，均提交蚌埠仲裁委员会，按照该会的仲裁规则进行仲裁。仲裁裁决是终局的，对双方均有约束力。</w:t>
      </w:r>
    </w:p>
    <w:p w14:paraId="7C73A70D">
      <w:pPr>
        <w:pStyle w:val="4"/>
        <w:spacing w:before="0"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lang w:eastAsia="zh-CN"/>
        </w:rPr>
        <w:t>第九条</w:t>
      </w:r>
      <w:r>
        <w:rPr>
          <w:rFonts w:hint="eastAsia" w:ascii="微软雅黑" w:hAnsi="微软雅黑" w:eastAsia="微软雅黑" w:cs="微软雅黑"/>
          <w:b/>
          <w:color w:val="000000"/>
          <w:sz w:val="24"/>
          <w:szCs w:val="24"/>
          <w:lang w:val="en-US" w:eastAsia="zh-CN"/>
        </w:rPr>
        <w:t xml:space="preserve">  </w:t>
      </w:r>
      <w:r>
        <w:rPr>
          <w:rFonts w:hint="eastAsia" w:ascii="微软雅黑" w:hAnsi="微软雅黑" w:eastAsia="微软雅黑" w:cs="微软雅黑"/>
          <w:b/>
          <w:color w:val="000000"/>
          <w:sz w:val="24"/>
          <w:szCs w:val="24"/>
        </w:rPr>
        <w:t>送达地址以及送达条款</w:t>
      </w:r>
    </w:p>
    <w:p w14:paraId="4CD3367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（一）</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送达地址以及方式</w:t>
      </w:r>
    </w:p>
    <w:p w14:paraId="29DB6716">
      <w:pPr>
        <w:pStyle w:val="4"/>
        <w:spacing w:before="0"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送达地址</w:t>
      </w:r>
    </w:p>
    <w:p w14:paraId="3879870F">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甲方确认送达地址如下：</w:t>
      </w:r>
    </w:p>
    <w:p w14:paraId="16E388CA">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734BB8B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5D39F47F">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79C1621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33FE8DD2">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20E5F3F8">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341C20B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02A19A2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056D2AD2">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565B66B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乙方确认送达地址如下：</w:t>
      </w:r>
    </w:p>
    <w:p w14:paraId="08320F2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615BB32C">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55F8087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3EE002EB">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1CDEACAC">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6C4EFCA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18C8CB58">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57C373CB">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6488F7C5">
      <w:pPr>
        <w:pStyle w:val="4"/>
        <w:spacing w:before="0"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rPr>
        <w:t>电子邮箱：</w:t>
      </w:r>
    </w:p>
    <w:p w14:paraId="585F6540">
      <w:pPr>
        <w:pStyle w:val="4"/>
        <w:spacing w:before="0"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送达方式</w:t>
      </w:r>
    </w:p>
    <w:p w14:paraId="4BF361BA">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双方同意，本合同项下的通知、函件、诉讼文书等文件，以下列方式送达对方：</w:t>
      </w:r>
    </w:p>
    <w:p w14:paraId="6BABC3A4">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直接送达：将文件送至对方指定的送达地址，视为已送达；</w:t>
      </w:r>
    </w:p>
    <w:p w14:paraId="6BE35DD0">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2B9ECE4C">
      <w:pPr>
        <w:pStyle w:val="4"/>
        <w:spacing w:before="0"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3.</w:t>
      </w: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6311209E">
      <w:pPr>
        <w:pStyle w:val="4"/>
        <w:spacing w:before="0"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val="en-US" w:eastAsia="zh-CN"/>
        </w:rPr>
        <w:t>（二）</w:t>
      </w:r>
      <w:r>
        <w:rPr>
          <w:rFonts w:hint="eastAsia" w:ascii="微软雅黑" w:hAnsi="微软雅黑" w:eastAsia="微软雅黑" w:cs="微软雅黑"/>
          <w:color w:val="000000"/>
          <w:sz w:val="24"/>
          <w:szCs w:val="24"/>
          <w:lang w:eastAsia="zh-CN"/>
        </w:rPr>
        <w:t>送达条款</w:t>
      </w:r>
    </w:p>
    <w:p w14:paraId="0A991EE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本送达条款适用于合同履行履行期间及合同纠纷解决过程中的所有文件送达。</w:t>
      </w:r>
    </w:p>
    <w:p w14:paraId="71DDCE76">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法院、仲裁委员会、合同项下任何一方等主体有权依据本合</w:t>
      </w:r>
      <w:r>
        <w:rPr>
          <w:rFonts w:hint="eastAsia" w:ascii="微软雅黑" w:hAnsi="微软雅黑" w:eastAsia="微软雅黑" w:cs="微软雅黑"/>
          <w:color w:val="000000"/>
          <w:sz w:val="24"/>
          <w:szCs w:val="24"/>
          <w:lang w:eastAsia="zh-CN"/>
        </w:rPr>
        <w:t>同</w:t>
      </w:r>
      <w:r>
        <w:rPr>
          <w:rFonts w:hint="eastAsia" w:ascii="微软雅黑" w:hAnsi="微软雅黑" w:eastAsia="微软雅黑" w:cs="微软雅黑"/>
          <w:color w:val="000000"/>
          <w:sz w:val="24"/>
          <w:szCs w:val="24"/>
        </w:rPr>
        <w:t>约定地址向另一方发出的通知、信件、数据电文等内容，如因包括不限于搬迁、注销、更换地址等接收方原因造成无法送达的，不利后果由接收方自行承担。</w:t>
      </w:r>
    </w:p>
    <w:p w14:paraId="51A85C9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25E8B35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489FEA72">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sz w:val="24"/>
          <w:szCs w:val="24"/>
          <w:lang w:eastAsia="zh-CN"/>
        </w:rPr>
        <w:t>及时</w:t>
      </w:r>
      <w:r>
        <w:rPr>
          <w:rFonts w:hint="eastAsia" w:ascii="微软雅黑" w:hAnsi="微软雅黑" w:eastAsia="微软雅黑" w:cs="微软雅黑"/>
          <w:color w:val="000000"/>
          <w:sz w:val="24"/>
          <w:szCs w:val="24"/>
        </w:rPr>
        <w:t>通知的，发送方按照原约定方式送达，视为送达成功。</w:t>
      </w:r>
    </w:p>
    <w:p w14:paraId="78775E5A">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26F12AC6">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1.擅自变更送达地址及信息且未及时通知对方的</w:t>
      </w:r>
      <w:r>
        <w:rPr>
          <w:rFonts w:hint="eastAsia" w:ascii="微软雅黑" w:hAnsi="微软雅黑" w:eastAsia="微软雅黑" w:cs="微软雅黑"/>
          <w:color w:val="000000"/>
          <w:sz w:val="24"/>
          <w:szCs w:val="24"/>
          <w:lang w:eastAsia="zh-CN"/>
        </w:rPr>
        <w:t>；</w:t>
      </w:r>
    </w:p>
    <w:p w14:paraId="7C818B9F">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2.送达地址与信息同工商登记信息不一致且未及时更改的</w:t>
      </w:r>
      <w:r>
        <w:rPr>
          <w:rFonts w:hint="eastAsia" w:ascii="微软雅黑" w:hAnsi="微软雅黑" w:eastAsia="微软雅黑" w:cs="微软雅黑"/>
          <w:color w:val="000000"/>
          <w:sz w:val="24"/>
          <w:szCs w:val="24"/>
          <w:lang w:eastAsia="zh-CN"/>
        </w:rPr>
        <w:t>；</w:t>
      </w:r>
    </w:p>
    <w:p w14:paraId="2002B6CB">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r>
        <w:rPr>
          <w:rFonts w:hint="eastAsia" w:ascii="微软雅黑" w:hAnsi="微软雅黑" w:eastAsia="微软雅黑" w:cs="微软雅黑"/>
          <w:color w:val="000000"/>
          <w:sz w:val="24"/>
          <w:szCs w:val="24"/>
          <w:lang w:eastAsia="zh-CN"/>
        </w:rPr>
        <w:t>；</w:t>
      </w:r>
    </w:p>
    <w:p w14:paraId="450907F6">
      <w:pPr>
        <w:pStyle w:val="4"/>
        <w:spacing w:before="0"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4.因接收方过错造成无法正常送达的其他行为</w:t>
      </w:r>
      <w:r>
        <w:rPr>
          <w:rFonts w:hint="eastAsia" w:ascii="微软雅黑" w:hAnsi="微软雅黑" w:eastAsia="微软雅黑" w:cs="微软雅黑"/>
          <w:color w:val="000000"/>
          <w:sz w:val="24"/>
          <w:szCs w:val="24"/>
          <w:lang w:eastAsia="zh-CN"/>
        </w:rPr>
        <w:t>。</w:t>
      </w:r>
    </w:p>
    <w:p w14:paraId="7103ED2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w:t>
      </w:r>
      <w:r>
        <w:rPr>
          <w:rFonts w:hint="eastAsia" w:ascii="微软雅黑" w:hAnsi="微软雅黑" w:eastAsia="微软雅黑" w:cs="微软雅黑"/>
          <w:b/>
          <w:color w:val="000000"/>
          <w:sz w:val="24"/>
          <w:szCs w:val="24"/>
          <w:lang w:eastAsia="zh-CN"/>
        </w:rPr>
        <w:t>十</w:t>
      </w:r>
      <w:r>
        <w:rPr>
          <w:rFonts w:hint="eastAsia" w:ascii="微软雅黑" w:hAnsi="微软雅黑" w:eastAsia="微软雅黑" w:cs="微软雅黑"/>
          <w:b/>
          <w:color w:val="000000"/>
          <w:sz w:val="24"/>
          <w:szCs w:val="24"/>
        </w:rPr>
        <w:t>条</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b/>
          <w:color w:val="000000"/>
          <w:sz w:val="24"/>
          <w:szCs w:val="24"/>
        </w:rPr>
        <w:t>其他事项</w:t>
      </w:r>
    </w:p>
    <w:p w14:paraId="04F7EBF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（一）本合同一式四份</w:t>
      </w:r>
      <w:r>
        <w:rPr>
          <w:rFonts w:hint="eastAsia" w:ascii="微软雅黑" w:hAnsi="微软雅黑" w:eastAsia="微软雅黑" w:cs="微软雅黑"/>
          <w:color w:val="000000"/>
          <w:sz w:val="24"/>
          <w:szCs w:val="24"/>
        </w:rPr>
        <w:t>，甲乙双方各执两份，均具同等法律效力。</w:t>
      </w:r>
    </w:p>
    <w:p w14:paraId="6F8211C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（二）</w:t>
      </w:r>
      <w:r>
        <w:rPr>
          <w:rFonts w:hint="eastAsia" w:ascii="微软雅黑" w:hAnsi="微软雅黑" w:eastAsia="微软雅黑" w:cs="微软雅黑"/>
          <w:color w:val="000000"/>
          <w:sz w:val="24"/>
          <w:szCs w:val="24"/>
        </w:rPr>
        <w:t>本合同有效期至双方履行</w:t>
      </w:r>
      <w:r>
        <w:rPr>
          <w:rFonts w:hint="eastAsia" w:ascii="微软雅黑" w:hAnsi="微软雅黑" w:eastAsia="微软雅黑" w:cs="微软雅黑"/>
          <w:color w:val="000000"/>
          <w:sz w:val="24"/>
          <w:szCs w:val="24"/>
        </w:rPr>
        <w:t>完毕</w:t>
      </w:r>
      <w:r>
        <w:rPr>
          <w:rFonts w:hint="eastAsia" w:ascii="微软雅黑" w:hAnsi="微软雅黑" w:eastAsia="微软雅黑" w:cs="微软雅黑"/>
          <w:color w:val="000000"/>
          <w:sz w:val="24"/>
          <w:szCs w:val="24"/>
        </w:rPr>
        <w:t>合同条款时自动失效。</w:t>
      </w:r>
    </w:p>
    <w:p w14:paraId="6684A79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（三）</w:t>
      </w:r>
      <w:r>
        <w:rPr>
          <w:rFonts w:hint="eastAsia" w:ascii="微软雅黑" w:hAnsi="微软雅黑" w:eastAsia="微软雅黑" w:cs="微软雅黑"/>
          <w:color w:val="000000"/>
          <w:sz w:val="24"/>
          <w:szCs w:val="24"/>
        </w:rPr>
        <w:t>采用不粘胶标签，贴在玻璃右上角注明编号、楼层、规格、室内。</w:t>
      </w:r>
    </w:p>
    <w:p w14:paraId="710D436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（四）</w:t>
      </w:r>
      <w:r>
        <w:rPr>
          <w:rFonts w:hint="eastAsia" w:ascii="微软雅黑" w:hAnsi="微软雅黑" w:eastAsia="微软雅黑" w:cs="微软雅黑"/>
          <w:color w:val="000000"/>
          <w:sz w:val="24"/>
          <w:szCs w:val="24"/>
        </w:rPr>
        <w:t>丁基胶平直，不可有断裂</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第二道封胶</w:t>
      </w:r>
      <w:r>
        <w:rPr>
          <w:rFonts w:hint="eastAsia" w:ascii="微软雅黑" w:hAnsi="微软雅黑" w:eastAsia="微软雅黑" w:cs="微软雅黑"/>
          <w:color w:val="000000"/>
          <w:sz w:val="24"/>
          <w:szCs w:val="24"/>
        </w:rPr>
        <w:t>要</w:t>
      </w:r>
      <w:r>
        <w:rPr>
          <w:rFonts w:hint="eastAsia" w:ascii="微软雅黑" w:hAnsi="微软雅黑" w:eastAsia="微软雅黑" w:cs="微软雅黑"/>
          <w:color w:val="000000"/>
          <w:sz w:val="24"/>
          <w:szCs w:val="24"/>
        </w:rPr>
        <w:t>均匀、饱满、平整，四周的拐角处要打胶饱满，外观干净、漂亮。</w:t>
      </w:r>
    </w:p>
    <w:p w14:paraId="241726E5">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（五）</w:t>
      </w:r>
      <w:r>
        <w:rPr>
          <w:rFonts w:hint="eastAsia" w:ascii="微软雅黑" w:hAnsi="微软雅黑" w:eastAsia="微软雅黑" w:cs="微软雅黑"/>
          <w:color w:val="000000"/>
          <w:sz w:val="24"/>
          <w:szCs w:val="24"/>
        </w:rPr>
        <w:t>玻璃清洗干净，四周上机精磨边，铝条采用“一次折弯”工艺各生产两片玻璃的叠差</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控制在最小范围。</w:t>
      </w:r>
    </w:p>
    <w:p w14:paraId="7CB81FC7">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（六）</w:t>
      </w:r>
      <w:r>
        <w:rPr>
          <w:rFonts w:hint="eastAsia" w:ascii="微软雅黑" w:hAnsi="微软雅黑" w:eastAsia="微软雅黑" w:cs="微软雅黑"/>
          <w:color w:val="000000"/>
          <w:sz w:val="24"/>
          <w:szCs w:val="24"/>
        </w:rPr>
        <w:t>甲方需用的玻璃直接下单给生产厂家，其料单文书（电子邮件、传真件、临时手写料单）具有合同同等法律效力，</w:t>
      </w:r>
    </w:p>
    <w:p w14:paraId="74F8CC29">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（七）</w:t>
      </w:r>
      <w:r>
        <w:rPr>
          <w:rFonts w:hint="eastAsia" w:ascii="微软雅黑" w:hAnsi="微软雅黑" w:eastAsia="微软雅黑" w:cs="微软雅黑"/>
          <w:color w:val="000000"/>
          <w:sz w:val="24"/>
          <w:szCs w:val="24"/>
        </w:rPr>
        <w:t>乙方只负责核对数量和结款，材料的一切技术要求、下单、图纸、送货等一切</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跟施工方确认。</w:t>
      </w:r>
    </w:p>
    <w:p w14:paraId="791269AF">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材料确认人：</w:t>
      </w:r>
      <w:r>
        <w:rPr>
          <w:rFonts w:hint="eastAsia" w:ascii="微软雅黑" w:hAnsi="微软雅黑" w:eastAsia="微软雅黑" w:cs="微软雅黑"/>
          <w:color w:val="000000"/>
          <w:sz w:val="24"/>
          <w:szCs w:val="24"/>
          <w:u w:val="single"/>
        </w:rPr>
        <w:t>               </w:t>
      </w:r>
    </w:p>
    <w:p w14:paraId="4C9E1D3D">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w:t>
      </w:r>
    </w:p>
    <w:p w14:paraId="4D549564">
      <w:pPr>
        <w:pStyle w:val="4"/>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（八）</w:t>
      </w:r>
      <w:r>
        <w:rPr>
          <w:rFonts w:hint="eastAsia" w:ascii="微软雅黑" w:hAnsi="微软雅黑" w:eastAsia="微软雅黑" w:cs="微软雅黑"/>
          <w:color w:val="000000"/>
          <w:sz w:val="24"/>
          <w:szCs w:val="24"/>
        </w:rPr>
        <w:t>所有材料价格必须甲方签字认可。</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0204A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3CCEC500">
            <w:pPr>
              <w:pStyle w:val="4"/>
              <w:spacing w:before="312" w:beforeLines="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甲方（盖章）：</w:t>
            </w:r>
          </w:p>
        </w:tc>
      </w:tr>
      <w:tr w14:paraId="796DD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319DE8A1">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代表人</w:t>
            </w:r>
            <w:r>
              <w:rPr>
                <w:rFonts w:hint="eastAsia" w:ascii="微软雅黑" w:hAnsi="微软雅黑" w:eastAsia="微软雅黑" w:cs="微软雅黑"/>
                <w:color w:val="000000"/>
                <w:sz w:val="24"/>
                <w:szCs w:val="24"/>
              </w:rPr>
              <w:t>：</w:t>
            </w:r>
          </w:p>
          <w:p w14:paraId="30F2605F">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委托代理人：</w:t>
            </w:r>
          </w:p>
        </w:tc>
      </w:tr>
      <w:tr w14:paraId="1C0B6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25F5D7D0">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p>
        </w:tc>
      </w:tr>
      <w:tr w14:paraId="5304C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4FE26FC8">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p>
          <w:p w14:paraId="0D6EABBC">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   年  月  日</w:t>
            </w:r>
          </w:p>
        </w:tc>
      </w:tr>
      <w:tr w14:paraId="2560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0E4CDE04">
            <w:pPr>
              <w:pStyle w:val="4"/>
              <w:spacing w:before="0" w:line="360" w:lineRule="auto"/>
              <w:rPr>
                <w:rFonts w:hint="eastAsia" w:ascii="微软雅黑" w:hAnsi="微软雅黑" w:eastAsia="微软雅黑" w:cs="微软雅黑"/>
                <w:sz w:val="24"/>
                <w:szCs w:val="24"/>
              </w:rPr>
            </w:pPr>
          </w:p>
        </w:tc>
      </w:tr>
      <w:tr w14:paraId="01CDA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00B02136">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tc>
      </w:tr>
      <w:tr w14:paraId="5CF40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07FFC323">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代表人</w:t>
            </w:r>
            <w:r>
              <w:rPr>
                <w:rFonts w:hint="eastAsia" w:ascii="微软雅黑" w:hAnsi="微软雅黑" w:eastAsia="微软雅黑" w:cs="微软雅黑"/>
                <w:color w:val="000000"/>
                <w:sz w:val="24"/>
                <w:szCs w:val="24"/>
              </w:rPr>
              <w:t>：</w:t>
            </w:r>
          </w:p>
          <w:p w14:paraId="5BFDADF8">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委托代理人：</w:t>
            </w:r>
          </w:p>
        </w:tc>
      </w:tr>
      <w:tr w14:paraId="2E2F7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0D75A28C">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p>
        </w:tc>
      </w:tr>
      <w:tr w14:paraId="23261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2EE49A0F">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rPr>
              <w:t>：</w:t>
            </w:r>
          </w:p>
        </w:tc>
      </w:tr>
      <w:tr w14:paraId="6FD54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30" w:type="dxa"/>
          </w:tcPr>
          <w:p w14:paraId="5892970C">
            <w:pPr>
              <w:pStyle w:val="4"/>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签署时间：   年  月  日</w:t>
            </w:r>
          </w:p>
        </w:tc>
      </w:tr>
    </w:tbl>
    <w:p w14:paraId="5FB7AA25">
      <w:pPr>
        <w:pStyle w:val="4"/>
        <w:spacing w:before="0" w:line="360" w:lineRule="auto"/>
        <w:rPr>
          <w:rFonts w:hint="eastAsia" w:ascii="微软雅黑" w:hAnsi="微软雅黑" w:eastAsia="微软雅黑" w:cs="微软雅黑"/>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B36EF"/>
    <w:rsid w:val="000B5223"/>
    <w:rsid w:val="001D25D0"/>
    <w:rsid w:val="00374298"/>
    <w:rsid w:val="003D4680"/>
    <w:rsid w:val="00441831"/>
    <w:rsid w:val="004C1F46"/>
    <w:rsid w:val="00607DBE"/>
    <w:rsid w:val="006D754E"/>
    <w:rsid w:val="007B0661"/>
    <w:rsid w:val="00944C92"/>
    <w:rsid w:val="009B131F"/>
    <w:rsid w:val="009B2DD4"/>
    <w:rsid w:val="009E1CAE"/>
    <w:rsid w:val="00AF0502"/>
    <w:rsid w:val="00B0261D"/>
    <w:rsid w:val="00D14910"/>
    <w:rsid w:val="00ED5AD6"/>
    <w:rsid w:val="00F03CCB"/>
    <w:rsid w:val="00F60BDB"/>
    <w:rsid w:val="00FC4F0C"/>
    <w:rsid w:val="0AA57FD4"/>
    <w:rsid w:val="29582A90"/>
    <w:rsid w:val="5E7873F2"/>
    <w:rsid w:val="7B5A1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6"/>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1"/>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9">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Normal (Web)"/>
    <w:basedOn w:val="1"/>
    <w:uiPriority w:val="99"/>
    <w:pPr>
      <w:widowControl/>
      <w:spacing w:before="90"/>
      <w:jc w:val="left"/>
    </w:pPr>
    <w:rPr>
      <w:rFonts w:ascii="Times New Roman" w:hAnsi="Times New Roman" w:cs="Times New Roman"/>
      <w:kern w:val="0"/>
      <w:sz w:val="24"/>
      <w:szCs w:val="20"/>
    </w:rPr>
  </w:style>
  <w:style w:type="paragraph" w:styleId="5">
    <w:name w:val="Title"/>
    <w:basedOn w:val="1"/>
    <w:next w:val="1"/>
    <w:link w:val="10"/>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Table Theme"/>
    <w:basedOn w:val="6"/>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字符"/>
    <w:basedOn w:val="9"/>
    <w:link w:val="5"/>
    <w:qFormat/>
    <w:uiPriority w:val="10"/>
    <w:rPr>
      <w:rFonts w:asciiTheme="majorHAnsi" w:hAnsiTheme="majorHAnsi" w:eastAsiaTheme="majorEastAsia" w:cstheme="majorBidi"/>
      <w:b/>
      <w:bCs/>
      <w:sz w:val="32"/>
      <w:szCs w:val="32"/>
    </w:rPr>
  </w:style>
  <w:style w:type="character" w:customStyle="1" w:styleId="11">
    <w:name w:val="标题 3 字符"/>
    <w:basedOn w:val="9"/>
    <w:link w:val="3"/>
    <w:qFormat/>
    <w:uiPriority w:val="9"/>
    <w:rPr>
      <w:rFonts w:ascii="等线" w:hAnsi="等线" w:eastAsia="宋体" w:cs="Times New Roman"/>
      <w:b/>
      <w:bCs/>
      <w:sz w:val="32"/>
      <w:szCs w:val="32"/>
    </w:rPr>
  </w:style>
  <w:style w:type="paragraph" w:customStyle="1" w:styleId="12">
    <w:name w:val="样式 样式 标题 3 + (中文) 宋体1 + 小四"/>
    <w:basedOn w:val="1"/>
    <w:link w:val="13"/>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3">
    <w:name w:val="样式 样式 标题 3 + (中文) 宋体1 + 小四 Char"/>
    <w:basedOn w:val="9"/>
    <w:link w:val="12"/>
    <w:qFormat/>
    <w:uiPriority w:val="0"/>
    <w:rPr>
      <w:rFonts w:ascii="等线" w:hAnsi="等线" w:eastAsia="宋体" w:cs="Times New Roman"/>
      <w:b/>
      <w:bCs/>
      <w:sz w:val="32"/>
      <w:szCs w:val="32"/>
    </w:rPr>
  </w:style>
  <w:style w:type="table" w:customStyle="1" w:styleId="14">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5">
    <w:name w:val="Grid Table 1 Light"/>
    <w:basedOn w:val="6"/>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6">
    <w:name w:val="标题 2 字符"/>
    <w:basedOn w:val="9"/>
    <w:link w:val="2"/>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17">
    <w:name w:val="Normal Table0"/>
    <w:uiPriority w:val="59"/>
    <w:rPr>
      <w:rFonts w:ascii="Times New Roman" w:hAnsi="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2734</Words>
  <Characters>2764</Characters>
  <Lines>16</Lines>
  <Paragraphs>4</Paragraphs>
  <TotalTime>0</TotalTime>
  <ScaleCrop>false</ScaleCrop>
  <LinksUpToDate>false</LinksUpToDate>
  <CharactersWithSpaces>3335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2019-03-10T13:05:00Z</dcterms:created>
  <dc:creator>雯 张</dc:creator>
  <cp:lastModifiedBy>豪</cp:lastModifiedBy>
  <dcterms:modified xsi:type="dcterms:W3CDTF">2026-03-22T06:35:54Z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40B4D9ED18794D8994FFD380FE039D6E_12</vt:lpwstr>
  </property>
</Properties>
</file>