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ABFF2">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电梯产品买卖合同</w:t>
      </w:r>
    </w:p>
    <w:bookmarkEnd w:id="0"/>
    <w:p w14:paraId="73EF9B43">
      <w:pPr>
        <w:pStyle w:val="2"/>
        <w:wordWrap w:val="0"/>
        <w:rPr>
          <w:rFonts w:hint="eastAsia" w:ascii="微软雅黑" w:hAnsi="微软雅黑" w:eastAsia="微软雅黑" w:cs="微软雅黑"/>
          <w:color w:val="000000"/>
          <w:sz w:val="24"/>
          <w:szCs w:val="24"/>
          <w:u w:val="single"/>
        </w:rPr>
      </w:pPr>
      <w:r>
        <w:rPr>
          <w:rFonts w:hint="eastAsia" w:ascii="微软雅黑" w:hAnsi="微软雅黑" w:eastAsia="微软雅黑" w:cs="微软雅黑"/>
          <w:b/>
          <w:color w:val="000000"/>
          <w:sz w:val="24"/>
          <w:szCs w:val="24"/>
        </w:rPr>
        <w:t>甲方（买方）：</w:t>
      </w:r>
      <w:r>
        <w:rPr>
          <w:rFonts w:hint="eastAsia" w:ascii="微软雅黑" w:hAnsi="微软雅黑" w:eastAsia="微软雅黑" w:cs="微软雅黑"/>
          <w:b/>
          <w:color w:val="000000"/>
          <w:sz w:val="24"/>
          <w:szCs w:val="24"/>
          <w:u w:val="single"/>
        </w:rPr>
        <w:t xml:space="preserve">              </w:t>
      </w:r>
    </w:p>
    <w:p w14:paraId="1F635203">
      <w:pPr>
        <w:pStyle w:val="2"/>
        <w:wordWrap w:val="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p>
    <w:p w14:paraId="4F97152C">
      <w:pPr>
        <w:pStyle w:val="2"/>
        <w:wordWrap w:val="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xml:space="preserve">                              </w:t>
      </w:r>
    </w:p>
    <w:p w14:paraId="0E4FC5F6">
      <w:pPr>
        <w:pStyle w:val="2"/>
        <w:wordWrap w:val="0"/>
        <w:spacing w:after="312" w:afterLines="1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联系方式：</w:t>
      </w:r>
      <w:r>
        <w:rPr>
          <w:rFonts w:hint="eastAsia" w:ascii="微软雅黑" w:hAnsi="微软雅黑" w:eastAsia="微软雅黑" w:cs="微软雅黑"/>
          <w:color w:val="000000"/>
          <w:sz w:val="24"/>
          <w:szCs w:val="24"/>
          <w:u w:val="single"/>
        </w:rPr>
        <w:t xml:space="preserve">                      </w:t>
      </w:r>
    </w:p>
    <w:p w14:paraId="58F68624">
      <w:pPr>
        <w:pStyle w:val="2"/>
        <w:wordWrap w:val="0"/>
        <w:rPr>
          <w:rFonts w:hint="eastAsia" w:ascii="微软雅黑" w:hAnsi="微软雅黑" w:eastAsia="微软雅黑" w:cs="微软雅黑"/>
          <w:color w:val="000000"/>
          <w:sz w:val="24"/>
          <w:szCs w:val="24"/>
          <w:u w:val="single"/>
        </w:rPr>
      </w:pPr>
      <w:r>
        <w:rPr>
          <w:rFonts w:hint="eastAsia" w:ascii="微软雅黑" w:hAnsi="微软雅黑" w:eastAsia="微软雅黑" w:cs="微软雅黑"/>
          <w:b/>
          <w:color w:val="000000"/>
          <w:sz w:val="24"/>
          <w:szCs w:val="24"/>
        </w:rPr>
        <w:t>乙方（卖方）：</w:t>
      </w:r>
      <w:r>
        <w:rPr>
          <w:rFonts w:hint="eastAsia" w:ascii="微软雅黑" w:hAnsi="微软雅黑" w:eastAsia="微软雅黑" w:cs="微软雅黑"/>
          <w:b/>
          <w:color w:val="000000"/>
          <w:sz w:val="24"/>
          <w:szCs w:val="24"/>
          <w:u w:val="single"/>
        </w:rPr>
        <w:t xml:space="preserve">             </w:t>
      </w:r>
    </w:p>
    <w:p w14:paraId="14A6BAED">
      <w:pPr>
        <w:pStyle w:val="2"/>
        <w:wordWrap w:val="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p>
    <w:p w14:paraId="01EB87FB">
      <w:pPr>
        <w:pStyle w:val="2"/>
        <w:wordWrap w:val="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xml:space="preserve">                             </w:t>
      </w:r>
    </w:p>
    <w:p w14:paraId="40408810">
      <w:pPr>
        <w:pStyle w:val="2"/>
        <w:wordWrap w:val="0"/>
        <w:spacing w:after="24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联系方式：</w:t>
      </w:r>
      <w:r>
        <w:rPr>
          <w:rFonts w:hint="eastAsia" w:ascii="微软雅黑" w:hAnsi="微软雅黑" w:eastAsia="微软雅黑" w:cs="微软雅黑"/>
          <w:color w:val="000000"/>
          <w:sz w:val="24"/>
          <w:szCs w:val="24"/>
          <w:u w:val="single"/>
        </w:rPr>
        <w:t xml:space="preserve">                     </w:t>
      </w:r>
    </w:p>
    <w:p w14:paraId="5C7DED0F">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甲乙双方经平等自愿协商，签订本合同以共同遵守。</w:t>
      </w:r>
    </w:p>
    <w:p w14:paraId="2A78BEC9">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一、产品和价格</w:t>
      </w:r>
    </w:p>
    <w:p w14:paraId="3780F54F">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买方根据项目需要，经过比较和选型，决定向卖方订购“</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”商标电梯17台。</w:t>
      </w:r>
    </w:p>
    <w:tbl>
      <w:tblPr>
        <w:tblStyle w:val="8"/>
        <w:tblW w:w="5000" w:type="pct"/>
        <w:tblInd w:w="0" w:type="dxa"/>
        <w:tblLayout w:type="autofit"/>
        <w:tblCellMar>
          <w:top w:w="0" w:type="dxa"/>
          <w:left w:w="108" w:type="dxa"/>
          <w:bottom w:w="0" w:type="dxa"/>
          <w:right w:w="108" w:type="dxa"/>
        </w:tblCellMar>
      </w:tblPr>
      <w:tblGrid>
        <w:gridCol w:w="690"/>
        <w:gridCol w:w="456"/>
        <w:gridCol w:w="452"/>
        <w:gridCol w:w="583"/>
        <w:gridCol w:w="1144"/>
        <w:gridCol w:w="1641"/>
        <w:gridCol w:w="690"/>
        <w:gridCol w:w="1946"/>
        <w:gridCol w:w="920"/>
      </w:tblGrid>
      <w:tr w14:paraId="15FCA8B1">
        <w:tblPrEx>
          <w:tblCellMar>
            <w:top w:w="0" w:type="dxa"/>
            <w:left w:w="108" w:type="dxa"/>
            <w:bottom w:w="0" w:type="dxa"/>
            <w:right w:w="108" w:type="dxa"/>
          </w:tblCellMar>
        </w:tblPrEx>
        <w:tc>
          <w:tcPr>
            <w:tcW w:w="405" w:type="pct"/>
            <w:tcBorders>
              <w:top w:val="single" w:color="000000" w:sz="6" w:space="0"/>
              <w:left w:val="single" w:color="000000" w:sz="6" w:space="0"/>
              <w:bottom w:val="single" w:color="000000" w:sz="6" w:space="0"/>
              <w:right w:val="single" w:color="000000" w:sz="6" w:space="0"/>
            </w:tcBorders>
          </w:tcPr>
          <w:p w14:paraId="1C883283">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序号</w:t>
            </w:r>
          </w:p>
        </w:tc>
        <w:tc>
          <w:tcPr>
            <w:tcW w:w="267" w:type="pct"/>
            <w:tcBorders>
              <w:top w:val="single" w:color="000000" w:sz="6" w:space="0"/>
              <w:left w:val="single" w:color="000000" w:sz="6" w:space="0"/>
              <w:bottom w:val="single" w:color="000000" w:sz="6" w:space="0"/>
              <w:right w:val="single" w:color="000000" w:sz="6" w:space="0"/>
            </w:tcBorders>
          </w:tcPr>
          <w:p w14:paraId="5A20263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电梯编号</w:t>
            </w:r>
          </w:p>
        </w:tc>
        <w:tc>
          <w:tcPr>
            <w:tcW w:w="607" w:type="pct"/>
            <w:gridSpan w:val="2"/>
            <w:tcBorders>
              <w:top w:val="single" w:color="000000" w:sz="6" w:space="0"/>
              <w:left w:val="single" w:color="000000" w:sz="6" w:space="0"/>
              <w:bottom w:val="single" w:color="000000" w:sz="6" w:space="0"/>
              <w:right w:val="single" w:color="000000" w:sz="6" w:space="0"/>
            </w:tcBorders>
          </w:tcPr>
          <w:p w14:paraId="5ACAFF12">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设备名称</w:t>
            </w:r>
          </w:p>
        </w:tc>
        <w:tc>
          <w:tcPr>
            <w:tcW w:w="671" w:type="pct"/>
            <w:tcBorders>
              <w:top w:val="single" w:color="000000" w:sz="6" w:space="0"/>
              <w:left w:val="single" w:color="000000" w:sz="6" w:space="0"/>
              <w:bottom w:val="single" w:color="000000" w:sz="6" w:space="0"/>
              <w:right w:val="single" w:color="000000" w:sz="6" w:space="0"/>
            </w:tcBorders>
          </w:tcPr>
          <w:p w14:paraId="0C66B6F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技术规格</w:t>
            </w:r>
          </w:p>
        </w:tc>
        <w:tc>
          <w:tcPr>
            <w:tcW w:w="963" w:type="pct"/>
            <w:tcBorders>
              <w:top w:val="single" w:color="000000" w:sz="6" w:space="0"/>
              <w:left w:val="single" w:color="000000" w:sz="6" w:space="0"/>
              <w:bottom w:val="single" w:color="000000" w:sz="6" w:space="0"/>
              <w:right w:val="single" w:color="000000" w:sz="6" w:space="0"/>
            </w:tcBorders>
          </w:tcPr>
          <w:p w14:paraId="223A1E3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设备单价（元/台）</w:t>
            </w:r>
          </w:p>
        </w:tc>
        <w:tc>
          <w:tcPr>
            <w:tcW w:w="405" w:type="pct"/>
            <w:tcBorders>
              <w:top w:val="single" w:color="000000" w:sz="6" w:space="0"/>
              <w:left w:val="single" w:color="000000" w:sz="6" w:space="0"/>
              <w:bottom w:val="single" w:color="000000" w:sz="6" w:space="0"/>
              <w:right w:val="single" w:color="000000" w:sz="6" w:space="0"/>
            </w:tcBorders>
          </w:tcPr>
          <w:p w14:paraId="0717C6A8">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台数</w:t>
            </w:r>
          </w:p>
        </w:tc>
        <w:tc>
          <w:tcPr>
            <w:tcW w:w="1142" w:type="pct"/>
            <w:tcBorders>
              <w:top w:val="single" w:color="000000" w:sz="6" w:space="0"/>
              <w:left w:val="single" w:color="000000" w:sz="6" w:space="0"/>
              <w:bottom w:val="single" w:color="000000" w:sz="6" w:space="0"/>
              <w:right w:val="single" w:color="000000" w:sz="6" w:space="0"/>
            </w:tcBorders>
          </w:tcPr>
          <w:p w14:paraId="3096743F">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小计（不含运输保险费）（元）</w:t>
            </w:r>
          </w:p>
        </w:tc>
        <w:tc>
          <w:tcPr>
            <w:tcW w:w="540" w:type="pct"/>
            <w:tcBorders>
              <w:top w:val="single" w:color="000000" w:sz="6" w:space="0"/>
              <w:left w:val="single" w:color="000000" w:sz="6" w:space="0"/>
              <w:bottom w:val="single" w:color="000000" w:sz="6" w:space="0"/>
              <w:right w:val="single" w:color="000000" w:sz="6" w:space="0"/>
            </w:tcBorders>
          </w:tcPr>
          <w:p w14:paraId="466E585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商标/制造商</w:t>
            </w:r>
          </w:p>
        </w:tc>
      </w:tr>
      <w:tr w14:paraId="02154364">
        <w:tblPrEx>
          <w:tblCellMar>
            <w:top w:w="0" w:type="dxa"/>
            <w:left w:w="108" w:type="dxa"/>
            <w:bottom w:w="0" w:type="dxa"/>
            <w:right w:w="108" w:type="dxa"/>
          </w:tblCellMar>
        </w:tblPrEx>
        <w:tc>
          <w:tcPr>
            <w:tcW w:w="405" w:type="pct"/>
            <w:tcBorders>
              <w:top w:val="single" w:color="000000" w:sz="6" w:space="0"/>
              <w:left w:val="single" w:color="000000" w:sz="6" w:space="0"/>
              <w:bottom w:val="single" w:color="000000" w:sz="6" w:space="0"/>
              <w:right w:val="single" w:color="000000" w:sz="6" w:space="0"/>
            </w:tcBorders>
          </w:tcPr>
          <w:p w14:paraId="38D074BC">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1</w:t>
            </w:r>
          </w:p>
        </w:tc>
        <w:tc>
          <w:tcPr>
            <w:tcW w:w="267" w:type="pct"/>
            <w:tcBorders>
              <w:top w:val="single" w:color="000000" w:sz="6" w:space="0"/>
              <w:left w:val="single" w:color="000000" w:sz="6" w:space="0"/>
              <w:bottom w:val="single" w:color="000000" w:sz="6" w:space="0"/>
              <w:right w:val="single" w:color="000000" w:sz="6" w:space="0"/>
            </w:tcBorders>
          </w:tcPr>
          <w:p w14:paraId="1DE11BED">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607" w:type="pct"/>
            <w:gridSpan w:val="2"/>
            <w:tcBorders>
              <w:top w:val="single" w:color="000000" w:sz="6" w:space="0"/>
              <w:left w:val="single" w:color="000000" w:sz="6" w:space="0"/>
              <w:bottom w:val="single" w:color="000000" w:sz="6" w:space="0"/>
              <w:right w:val="single" w:color="000000" w:sz="6" w:space="0"/>
            </w:tcBorders>
          </w:tcPr>
          <w:p w14:paraId="040E8A1C">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671" w:type="pct"/>
            <w:tcBorders>
              <w:top w:val="single" w:color="000000" w:sz="6" w:space="0"/>
              <w:left w:val="single" w:color="000000" w:sz="6" w:space="0"/>
              <w:bottom w:val="single" w:color="000000" w:sz="6" w:space="0"/>
              <w:right w:val="single" w:color="000000" w:sz="6" w:space="0"/>
            </w:tcBorders>
          </w:tcPr>
          <w:p w14:paraId="1E18534B">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963" w:type="pct"/>
            <w:tcBorders>
              <w:top w:val="single" w:color="000000" w:sz="6" w:space="0"/>
              <w:left w:val="single" w:color="000000" w:sz="6" w:space="0"/>
              <w:bottom w:val="single" w:color="000000" w:sz="6" w:space="0"/>
              <w:right w:val="single" w:color="000000" w:sz="6" w:space="0"/>
            </w:tcBorders>
          </w:tcPr>
          <w:p w14:paraId="6DFADDD6">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405" w:type="pct"/>
            <w:tcBorders>
              <w:top w:val="single" w:color="000000" w:sz="6" w:space="0"/>
              <w:left w:val="single" w:color="000000" w:sz="6" w:space="0"/>
              <w:bottom w:val="single" w:color="000000" w:sz="6" w:space="0"/>
              <w:right w:val="single" w:color="000000" w:sz="6" w:space="0"/>
            </w:tcBorders>
          </w:tcPr>
          <w:p w14:paraId="6F5107B0">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1142" w:type="pct"/>
            <w:tcBorders>
              <w:top w:val="single" w:color="000000" w:sz="6" w:space="0"/>
              <w:left w:val="single" w:color="000000" w:sz="6" w:space="0"/>
              <w:bottom w:val="single" w:color="000000" w:sz="6" w:space="0"/>
              <w:right w:val="single" w:color="000000" w:sz="6" w:space="0"/>
            </w:tcBorders>
          </w:tcPr>
          <w:p w14:paraId="4D2089F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540" w:type="pct"/>
            <w:tcBorders>
              <w:top w:val="single" w:color="000000" w:sz="6" w:space="0"/>
              <w:left w:val="single" w:color="000000" w:sz="6" w:space="0"/>
              <w:bottom w:val="single" w:color="000000" w:sz="6" w:space="0"/>
              <w:right w:val="single" w:color="000000" w:sz="6" w:space="0"/>
            </w:tcBorders>
          </w:tcPr>
          <w:p w14:paraId="2B0E194F">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r>
      <w:tr w14:paraId="4E3FBAF7">
        <w:tblPrEx>
          <w:tblCellMar>
            <w:top w:w="0" w:type="dxa"/>
            <w:left w:w="108" w:type="dxa"/>
            <w:bottom w:w="0" w:type="dxa"/>
            <w:right w:w="108" w:type="dxa"/>
          </w:tblCellMar>
        </w:tblPrEx>
        <w:tc>
          <w:tcPr>
            <w:tcW w:w="405" w:type="pct"/>
            <w:tcBorders>
              <w:top w:val="single" w:color="000000" w:sz="6" w:space="0"/>
              <w:left w:val="single" w:color="000000" w:sz="6" w:space="0"/>
              <w:bottom w:val="single" w:color="000000" w:sz="6" w:space="0"/>
              <w:right w:val="single" w:color="000000" w:sz="6" w:space="0"/>
            </w:tcBorders>
          </w:tcPr>
          <w:p w14:paraId="0D5A6FF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2</w:t>
            </w:r>
          </w:p>
        </w:tc>
        <w:tc>
          <w:tcPr>
            <w:tcW w:w="267" w:type="pct"/>
            <w:tcBorders>
              <w:top w:val="single" w:color="000000" w:sz="6" w:space="0"/>
              <w:left w:val="single" w:color="000000" w:sz="6" w:space="0"/>
              <w:bottom w:val="single" w:color="000000" w:sz="6" w:space="0"/>
              <w:right w:val="single" w:color="000000" w:sz="6" w:space="0"/>
            </w:tcBorders>
          </w:tcPr>
          <w:p w14:paraId="684494A7">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607" w:type="pct"/>
            <w:gridSpan w:val="2"/>
            <w:tcBorders>
              <w:top w:val="single" w:color="000000" w:sz="6" w:space="0"/>
              <w:left w:val="single" w:color="000000" w:sz="6" w:space="0"/>
              <w:bottom w:val="single" w:color="000000" w:sz="6" w:space="0"/>
              <w:right w:val="single" w:color="000000" w:sz="6" w:space="0"/>
            </w:tcBorders>
          </w:tcPr>
          <w:p w14:paraId="793AE9F1">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671" w:type="pct"/>
            <w:tcBorders>
              <w:top w:val="single" w:color="000000" w:sz="6" w:space="0"/>
              <w:left w:val="single" w:color="000000" w:sz="6" w:space="0"/>
              <w:bottom w:val="single" w:color="000000" w:sz="6" w:space="0"/>
              <w:right w:val="single" w:color="000000" w:sz="6" w:space="0"/>
            </w:tcBorders>
          </w:tcPr>
          <w:p w14:paraId="06A360D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963" w:type="pct"/>
            <w:tcBorders>
              <w:top w:val="single" w:color="000000" w:sz="6" w:space="0"/>
              <w:left w:val="single" w:color="000000" w:sz="6" w:space="0"/>
              <w:bottom w:val="single" w:color="000000" w:sz="6" w:space="0"/>
              <w:right w:val="single" w:color="000000" w:sz="6" w:space="0"/>
            </w:tcBorders>
          </w:tcPr>
          <w:p w14:paraId="1E975A0A">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405" w:type="pct"/>
            <w:tcBorders>
              <w:top w:val="single" w:color="000000" w:sz="6" w:space="0"/>
              <w:left w:val="single" w:color="000000" w:sz="6" w:space="0"/>
              <w:bottom w:val="single" w:color="000000" w:sz="6" w:space="0"/>
              <w:right w:val="single" w:color="000000" w:sz="6" w:space="0"/>
            </w:tcBorders>
          </w:tcPr>
          <w:p w14:paraId="5F0D8536">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1142" w:type="pct"/>
            <w:tcBorders>
              <w:top w:val="single" w:color="000000" w:sz="6" w:space="0"/>
              <w:left w:val="single" w:color="000000" w:sz="6" w:space="0"/>
              <w:bottom w:val="single" w:color="000000" w:sz="6" w:space="0"/>
              <w:right w:val="single" w:color="000000" w:sz="6" w:space="0"/>
            </w:tcBorders>
          </w:tcPr>
          <w:p w14:paraId="394FC243">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540" w:type="pct"/>
            <w:tcBorders>
              <w:top w:val="single" w:color="000000" w:sz="6" w:space="0"/>
              <w:left w:val="single" w:color="000000" w:sz="6" w:space="0"/>
              <w:bottom w:val="single" w:color="000000" w:sz="6" w:space="0"/>
              <w:right w:val="single" w:color="000000" w:sz="6" w:space="0"/>
            </w:tcBorders>
          </w:tcPr>
          <w:p w14:paraId="52FCCF03">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r>
      <w:tr w14:paraId="01030B9F">
        <w:tblPrEx>
          <w:tblCellMar>
            <w:top w:w="0" w:type="dxa"/>
            <w:left w:w="108" w:type="dxa"/>
            <w:bottom w:w="0" w:type="dxa"/>
            <w:right w:w="108" w:type="dxa"/>
          </w:tblCellMar>
        </w:tblPrEx>
        <w:tc>
          <w:tcPr>
            <w:tcW w:w="405" w:type="pct"/>
            <w:tcBorders>
              <w:top w:val="single" w:color="000000" w:sz="6" w:space="0"/>
              <w:left w:val="single" w:color="000000" w:sz="6" w:space="0"/>
              <w:bottom w:val="single" w:color="000000" w:sz="6" w:space="0"/>
              <w:right w:val="single" w:color="000000" w:sz="6" w:space="0"/>
            </w:tcBorders>
          </w:tcPr>
          <w:p w14:paraId="07C4EDC4">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3</w:t>
            </w:r>
          </w:p>
        </w:tc>
        <w:tc>
          <w:tcPr>
            <w:tcW w:w="267" w:type="pct"/>
            <w:tcBorders>
              <w:top w:val="single" w:color="000000" w:sz="6" w:space="0"/>
              <w:left w:val="single" w:color="000000" w:sz="6" w:space="0"/>
              <w:bottom w:val="single" w:color="000000" w:sz="6" w:space="0"/>
              <w:right w:val="single" w:color="000000" w:sz="6" w:space="0"/>
            </w:tcBorders>
          </w:tcPr>
          <w:p w14:paraId="6BDDE0BA">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607" w:type="pct"/>
            <w:gridSpan w:val="2"/>
            <w:tcBorders>
              <w:top w:val="single" w:color="000000" w:sz="6" w:space="0"/>
              <w:left w:val="single" w:color="000000" w:sz="6" w:space="0"/>
              <w:bottom w:val="single" w:color="000000" w:sz="6" w:space="0"/>
              <w:right w:val="single" w:color="000000" w:sz="6" w:space="0"/>
            </w:tcBorders>
          </w:tcPr>
          <w:p w14:paraId="1031F25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671" w:type="pct"/>
            <w:tcBorders>
              <w:top w:val="single" w:color="000000" w:sz="6" w:space="0"/>
              <w:left w:val="single" w:color="000000" w:sz="6" w:space="0"/>
              <w:bottom w:val="single" w:color="000000" w:sz="6" w:space="0"/>
              <w:right w:val="single" w:color="000000" w:sz="6" w:space="0"/>
            </w:tcBorders>
          </w:tcPr>
          <w:p w14:paraId="2F5987C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963" w:type="pct"/>
            <w:tcBorders>
              <w:top w:val="single" w:color="000000" w:sz="6" w:space="0"/>
              <w:left w:val="single" w:color="000000" w:sz="6" w:space="0"/>
              <w:bottom w:val="single" w:color="000000" w:sz="6" w:space="0"/>
              <w:right w:val="single" w:color="000000" w:sz="6" w:space="0"/>
            </w:tcBorders>
          </w:tcPr>
          <w:p w14:paraId="115B74F8">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405" w:type="pct"/>
            <w:tcBorders>
              <w:top w:val="single" w:color="000000" w:sz="6" w:space="0"/>
              <w:left w:val="single" w:color="000000" w:sz="6" w:space="0"/>
              <w:bottom w:val="single" w:color="000000" w:sz="6" w:space="0"/>
              <w:right w:val="single" w:color="000000" w:sz="6" w:space="0"/>
            </w:tcBorders>
          </w:tcPr>
          <w:p w14:paraId="68C1DD0D">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1142" w:type="pct"/>
            <w:tcBorders>
              <w:top w:val="single" w:color="000000" w:sz="6" w:space="0"/>
              <w:left w:val="single" w:color="000000" w:sz="6" w:space="0"/>
              <w:bottom w:val="single" w:color="000000" w:sz="6" w:space="0"/>
              <w:right w:val="single" w:color="000000" w:sz="6" w:space="0"/>
            </w:tcBorders>
          </w:tcPr>
          <w:p w14:paraId="4E488F9C">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540" w:type="pct"/>
            <w:tcBorders>
              <w:top w:val="single" w:color="000000" w:sz="6" w:space="0"/>
              <w:left w:val="single" w:color="000000" w:sz="6" w:space="0"/>
              <w:bottom w:val="single" w:color="000000" w:sz="6" w:space="0"/>
              <w:right w:val="single" w:color="000000" w:sz="6" w:space="0"/>
            </w:tcBorders>
          </w:tcPr>
          <w:p w14:paraId="18726F1B">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r>
      <w:tr w14:paraId="2E41D92A">
        <w:tblPrEx>
          <w:tblCellMar>
            <w:top w:w="0" w:type="dxa"/>
            <w:left w:w="108" w:type="dxa"/>
            <w:bottom w:w="0" w:type="dxa"/>
            <w:right w:w="108" w:type="dxa"/>
          </w:tblCellMar>
        </w:tblPrEx>
        <w:tc>
          <w:tcPr>
            <w:tcW w:w="405" w:type="pct"/>
            <w:tcBorders>
              <w:top w:val="single" w:color="000000" w:sz="6" w:space="0"/>
              <w:left w:val="single" w:color="000000" w:sz="6" w:space="0"/>
              <w:bottom w:val="single" w:color="000000" w:sz="6" w:space="0"/>
              <w:right w:val="single" w:color="000000" w:sz="6" w:space="0"/>
            </w:tcBorders>
          </w:tcPr>
          <w:p w14:paraId="11B8FA9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2508" w:type="pct"/>
            <w:gridSpan w:val="5"/>
            <w:tcBorders>
              <w:top w:val="single" w:color="000000" w:sz="6" w:space="0"/>
              <w:left w:val="single" w:color="000000" w:sz="6" w:space="0"/>
              <w:bottom w:val="single" w:color="000000" w:sz="6" w:space="0"/>
              <w:right w:val="single" w:color="000000" w:sz="6" w:space="0"/>
            </w:tcBorders>
          </w:tcPr>
          <w:p w14:paraId="357393A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设备费总价</w:t>
            </w:r>
          </w:p>
        </w:tc>
        <w:tc>
          <w:tcPr>
            <w:tcW w:w="405" w:type="pct"/>
            <w:tcBorders>
              <w:top w:val="single" w:color="000000" w:sz="6" w:space="0"/>
              <w:left w:val="single" w:color="000000" w:sz="6" w:space="0"/>
              <w:bottom w:val="single" w:color="000000" w:sz="6" w:space="0"/>
              <w:right w:val="single" w:color="000000" w:sz="6" w:space="0"/>
            </w:tcBorders>
          </w:tcPr>
          <w:p w14:paraId="2601657C">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1142" w:type="pct"/>
            <w:tcBorders>
              <w:top w:val="single" w:color="000000" w:sz="6" w:space="0"/>
              <w:left w:val="single" w:color="000000" w:sz="6" w:space="0"/>
              <w:bottom w:val="single" w:color="000000" w:sz="6" w:space="0"/>
              <w:right w:val="single" w:color="000000" w:sz="6" w:space="0"/>
            </w:tcBorders>
          </w:tcPr>
          <w:p w14:paraId="193295BB">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540" w:type="pct"/>
            <w:tcBorders>
              <w:top w:val="single" w:color="000000" w:sz="6" w:space="0"/>
              <w:left w:val="single" w:color="000000" w:sz="6" w:space="0"/>
              <w:bottom w:val="single" w:color="000000" w:sz="6" w:space="0"/>
              <w:right w:val="single" w:color="000000" w:sz="6" w:space="0"/>
            </w:tcBorders>
          </w:tcPr>
          <w:p w14:paraId="36B71AE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r>
      <w:tr w14:paraId="4D2F9512">
        <w:tblPrEx>
          <w:tblCellMar>
            <w:top w:w="0" w:type="dxa"/>
            <w:left w:w="108" w:type="dxa"/>
            <w:bottom w:w="0" w:type="dxa"/>
            <w:right w:w="108" w:type="dxa"/>
          </w:tblCellMar>
        </w:tblPrEx>
        <w:tc>
          <w:tcPr>
            <w:tcW w:w="405" w:type="pct"/>
            <w:tcBorders>
              <w:top w:val="single" w:color="000000" w:sz="6" w:space="0"/>
              <w:left w:val="single" w:color="000000" w:sz="6" w:space="0"/>
              <w:bottom w:val="single" w:color="000000" w:sz="6" w:space="0"/>
              <w:right w:val="single" w:color="000000" w:sz="6" w:space="0"/>
            </w:tcBorders>
          </w:tcPr>
          <w:p w14:paraId="2B4A5107">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2508" w:type="pct"/>
            <w:gridSpan w:val="5"/>
            <w:tcBorders>
              <w:top w:val="single" w:color="000000" w:sz="6" w:space="0"/>
              <w:left w:val="single" w:color="000000" w:sz="6" w:space="0"/>
              <w:bottom w:val="single" w:color="000000" w:sz="6" w:space="0"/>
              <w:right w:val="single" w:color="000000" w:sz="6" w:space="0"/>
            </w:tcBorders>
          </w:tcPr>
          <w:p w14:paraId="43C510E7">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运输保险费总价</w:t>
            </w:r>
          </w:p>
        </w:tc>
        <w:tc>
          <w:tcPr>
            <w:tcW w:w="405" w:type="pct"/>
            <w:tcBorders>
              <w:top w:val="single" w:color="000000" w:sz="6" w:space="0"/>
              <w:left w:val="single" w:color="000000" w:sz="6" w:space="0"/>
              <w:bottom w:val="single" w:color="000000" w:sz="6" w:space="0"/>
              <w:right w:val="single" w:color="000000" w:sz="6" w:space="0"/>
            </w:tcBorders>
          </w:tcPr>
          <w:p w14:paraId="6FE2676D">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1142" w:type="pct"/>
            <w:tcBorders>
              <w:top w:val="single" w:color="000000" w:sz="6" w:space="0"/>
              <w:left w:val="single" w:color="000000" w:sz="6" w:space="0"/>
              <w:bottom w:val="single" w:color="000000" w:sz="6" w:space="0"/>
              <w:right w:val="single" w:color="000000" w:sz="6" w:space="0"/>
            </w:tcBorders>
          </w:tcPr>
          <w:p w14:paraId="701961A1">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540" w:type="pct"/>
            <w:tcBorders>
              <w:top w:val="single" w:color="000000" w:sz="6" w:space="0"/>
              <w:left w:val="single" w:color="000000" w:sz="6" w:space="0"/>
              <w:bottom w:val="single" w:color="000000" w:sz="6" w:space="0"/>
              <w:right w:val="single" w:color="000000" w:sz="6" w:space="0"/>
            </w:tcBorders>
          </w:tcPr>
          <w:p w14:paraId="6A574EA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r>
      <w:tr w14:paraId="48D2D115">
        <w:tblPrEx>
          <w:tblCellMar>
            <w:top w:w="0" w:type="dxa"/>
            <w:left w:w="108" w:type="dxa"/>
            <w:bottom w:w="0" w:type="dxa"/>
            <w:right w:w="108" w:type="dxa"/>
          </w:tblCellMar>
        </w:tblPrEx>
        <w:tc>
          <w:tcPr>
            <w:tcW w:w="937" w:type="pct"/>
            <w:gridSpan w:val="3"/>
            <w:tcBorders>
              <w:top w:val="single" w:color="000000" w:sz="6" w:space="0"/>
              <w:left w:val="single" w:color="000000" w:sz="6" w:space="0"/>
              <w:bottom w:val="single" w:color="000000" w:sz="6" w:space="0"/>
              <w:right w:val="single" w:color="000000" w:sz="6" w:space="0"/>
            </w:tcBorders>
          </w:tcPr>
          <w:p w14:paraId="49E3BC3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合同总价</w:t>
            </w:r>
          </w:p>
        </w:tc>
        <w:tc>
          <w:tcPr>
            <w:tcW w:w="4063" w:type="pct"/>
            <w:gridSpan w:val="6"/>
            <w:tcBorders>
              <w:top w:val="single" w:color="000000" w:sz="6" w:space="0"/>
              <w:left w:val="single" w:color="000000" w:sz="6" w:space="0"/>
              <w:bottom w:val="single" w:color="000000" w:sz="6" w:space="0"/>
              <w:right w:val="single" w:color="000000" w:sz="6" w:space="0"/>
            </w:tcBorders>
          </w:tcPr>
          <w:p w14:paraId="077D0FF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人民币（小写金额）：</w:t>
            </w:r>
            <w:r>
              <w:rPr>
                <w:rFonts w:hint="eastAsia" w:ascii="微软雅黑" w:hAnsi="微软雅黑" w:eastAsia="微软雅黑" w:cs="微软雅黑"/>
                <w:b/>
                <w:color w:val="000000"/>
                <w:kern w:val="0"/>
                <w:sz w:val="24"/>
                <w:szCs w:val="24"/>
              </w:rPr>
              <w:t>     </w:t>
            </w:r>
            <w:r>
              <w:rPr>
                <w:rFonts w:hint="eastAsia" w:ascii="微软雅黑" w:hAnsi="微软雅黑" w:eastAsia="微软雅黑" w:cs="微软雅黑"/>
                <w:color w:val="000000"/>
                <w:kern w:val="0"/>
                <w:sz w:val="24"/>
                <w:szCs w:val="24"/>
              </w:rPr>
              <w:t> 元  </w:t>
            </w:r>
          </w:p>
          <w:p w14:paraId="1FBBE2DA">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人民币（大写金额）：</w:t>
            </w:r>
            <w:r>
              <w:rPr>
                <w:rFonts w:hint="eastAsia" w:ascii="微软雅黑" w:hAnsi="微软雅黑" w:eastAsia="微软雅黑" w:cs="微软雅黑"/>
                <w:b/>
                <w:color w:val="000000"/>
                <w:kern w:val="0"/>
                <w:sz w:val="24"/>
                <w:szCs w:val="24"/>
              </w:rPr>
              <w:t>                 </w:t>
            </w:r>
            <w:r>
              <w:rPr>
                <w:rFonts w:hint="eastAsia" w:ascii="微软雅黑" w:hAnsi="微软雅黑" w:eastAsia="微软雅黑" w:cs="微软雅黑"/>
                <w:color w:val="000000"/>
                <w:kern w:val="0"/>
                <w:sz w:val="24"/>
                <w:szCs w:val="24"/>
              </w:rPr>
              <w:t> 元整</w:t>
            </w:r>
          </w:p>
        </w:tc>
      </w:tr>
    </w:tbl>
    <w:p w14:paraId="22DC4884">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注：</w:t>
      </w:r>
    </w:p>
    <w:p w14:paraId="4CE22C50">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1、合同总价包含出厂价、货物到达交货地点的货物包装费、运输费、保险费、装卸费、各种伴随服务费、质保期内保修费用和税金等为完成本工程设备供货的全部费用。</w:t>
      </w:r>
    </w:p>
    <w:p w14:paraId="4C971638">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2、合同总价已含为完成本工程按相关法律规定应交纳的一切税、费。</w:t>
      </w:r>
    </w:p>
    <w:p w14:paraId="40B75007">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二、合同生效</w:t>
      </w:r>
    </w:p>
    <w:p w14:paraId="5D4AED18">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本合同经双方盖章后生效。</w:t>
      </w:r>
    </w:p>
    <w:p w14:paraId="33309AAA">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三、货款支付</w:t>
      </w:r>
    </w:p>
    <w:p w14:paraId="27FA0539">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1、卖方须在合同签订之日起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日内向买方提供本合同设备总价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%的银行履约保证金保函，保证期为自合同签订之日起至设备全部交货日期为止。因卖方原因未能按合同要求提供履约保证金保函的，由卖方承担因此造成的违约责任和经济损失。</w:t>
      </w:r>
    </w:p>
    <w:p w14:paraId="55B88660">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2、买方在卖方向买方提供合同设备总价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%的银行履约保证金保函后、电梯正式排产前，预付设备费总价的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%至合同约定的卖方账户。</w:t>
      </w:r>
    </w:p>
    <w:p w14:paraId="5384189E">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3、买方在交货期前</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日支付设备费总价的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%至合同约定的卖方账户。</w:t>
      </w:r>
    </w:p>
    <w:p w14:paraId="573DBB4E">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4、卖方须在买方第二次付款前</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日向买方提供设备费总价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%的银行质保金保函，保证期为自电梯通过验收合格之日起至质保期满为止。因卖方原因未能按合同要求提供质保金保函的，由卖方承担因此造成的违约责任和经济损失。</w:t>
      </w:r>
    </w:p>
    <w:p w14:paraId="5C0618F2">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5、卖方须在付款前向买方提供相应发票，否则买方有权拒付合同款，因此造成的相关责任和经济损失均由卖方依法承担。</w:t>
      </w:r>
    </w:p>
    <w:p w14:paraId="78AB6400">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6、设备费发票由卖方出具，运输保险费发票由运输保险方出具。</w:t>
      </w:r>
    </w:p>
    <w:p w14:paraId="7CAD1ABB">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注：如买方要求分批供货，双方同意按上述付款进度和比例分批结算货款。</w:t>
      </w:r>
    </w:p>
    <w:p w14:paraId="305F0C5B">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四、交货日期</w:t>
      </w:r>
    </w:p>
    <w:p w14:paraId="67493F64">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1、卖方在支付合同规定的第一次付款项且电梯安装图纸双方盖章确认后</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天内全部设备必须发送到施工现场。</w:t>
      </w:r>
    </w:p>
    <w:p w14:paraId="5D26DDD8">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2、卖方在约定期内未收到预付款，或双方未对电梯安装图纸确认的，卖方的交货日期将根据预付款收到的时间或产品确认的时间（二者中以后一时间为准）顺延。</w:t>
      </w:r>
    </w:p>
    <w:p w14:paraId="14FDD733">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五、货物发送方式及地点</w:t>
      </w:r>
    </w:p>
    <w:p w14:paraId="1C8562F5">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由卖方负责办理托运和保险，运输保险费由买方在交货期前</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日付至卖方账户。卖方负责卸车,产品送达后，买方对产品的箱数和箱体的完好进行清点并签收。</w:t>
      </w:r>
    </w:p>
    <w:p w14:paraId="601759EE">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产品交货地点：</w:t>
      </w:r>
      <w:r>
        <w:rPr>
          <w:rFonts w:hint="eastAsia" w:ascii="微软雅黑" w:hAnsi="微软雅黑" w:eastAsia="微软雅黑" w:cs="微软雅黑"/>
          <w:color w:val="000000"/>
          <w:sz w:val="24"/>
          <w:szCs w:val="24"/>
          <w:u w:val="single"/>
        </w:rPr>
        <w:t>                                  </w:t>
      </w:r>
    </w:p>
    <w:p w14:paraId="7ECD5923">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六、产品包装</w:t>
      </w:r>
    </w:p>
    <w:p w14:paraId="1F8B2100">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卖方以合理的包装，保障产品符合正常运输的要求，因设备包装和装卸运输过程造成的设备损坏由卖方自行承担。</w:t>
      </w:r>
    </w:p>
    <w:p w14:paraId="50D35686">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七、产品质量保证</w:t>
      </w:r>
    </w:p>
    <w:p w14:paraId="6DFF3641">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1、卖方须在合同签订之日起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日内，对买方现场进行全面勘察，完成电梯安装图纸的确认。保证本合同产品符合双方确认的产品规格以及买方现场安装条件，在产品交付时随机附产品出厂合格证书。</w:t>
      </w:r>
    </w:p>
    <w:p w14:paraId="70F2E08D">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2、本合同中电梯产品按GB7588-2003《电梯制造与安装安全规范》标准制造。</w:t>
      </w:r>
    </w:p>
    <w:p w14:paraId="63C2DD0F">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3、在买方合理正常的保管和使用下，产品质量保修期为政府部门验收合格之日起的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个月，并且不超过合同约定交货日期起的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个月。</w:t>
      </w:r>
    </w:p>
    <w:p w14:paraId="00505821">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按照国务院《特种设备安全监察条例》（第373号令、第549号令）规定：电梯的安装、改造、维修，由电梯制造单位或者其通过合同委托、同意的单位进行。电梯制造单位对电梯质量以及安全运行涉及的质量问题负责。</w:t>
      </w:r>
    </w:p>
    <w:p w14:paraId="2FF7AFD8">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5、在质量保证期内，卖方对产品本身的质量缺陷负责免费修理或更换，更换下的零部件所有权归卖方所有，由卖方统一回收。</w:t>
      </w:r>
    </w:p>
    <w:p w14:paraId="52422CF2">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6、产品投入使用之前，买方应仔细阅读卖方随机提供的《用户使用指南》以及国务院《特种设备安全监察条例》（第549号令），并遵照执行。</w:t>
      </w:r>
    </w:p>
    <w:p w14:paraId="3530EDB2">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7、为使废旧印刷电路板不流入市场，进而切实保护用户利益，对所有电梯印刷电路板的更换必须以旧换新。</w:t>
      </w:r>
    </w:p>
    <w:p w14:paraId="3AAE972D">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8、本合同内电梯设备所有不锈钢全部采用304材质。</w:t>
      </w:r>
    </w:p>
    <w:p w14:paraId="141DFE5E">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八、产品质量验收</w:t>
      </w:r>
    </w:p>
    <w:p w14:paraId="405A43F9">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1、本合同产品规格及功能详见双方确认的“产品规格表”（附件一）、“设备功能综合表”（附件</w:t>
      </w:r>
      <w:r>
        <w:rPr>
          <w:rFonts w:hint="eastAsia" w:ascii="微软雅黑" w:hAnsi="微软雅黑" w:eastAsia="微软雅黑" w:cs="微软雅黑"/>
          <w:color w:val="000000"/>
          <w:sz w:val="24"/>
          <w:szCs w:val="24"/>
        </w:rPr>
        <w:t>二</w:t>
      </w:r>
      <w:r>
        <w:rPr>
          <w:rFonts w:hint="eastAsia" w:ascii="微软雅黑" w:hAnsi="微软雅黑" w:eastAsia="微软雅黑" w:cs="微软雅黑"/>
          <w:color w:val="000000"/>
          <w:sz w:val="24"/>
          <w:szCs w:val="24"/>
        </w:rPr>
        <w:t>）。</w:t>
      </w:r>
    </w:p>
    <w:p w14:paraId="4FA41DEB">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2、电梯安装完成后，卖方须帮助电梯安装单位及买方，按国家有关的特种设备质量安全监督管理部门的验收标准通过最终质量验收，取得电梯监督检验报告、监督检验证书。</w:t>
      </w:r>
    </w:p>
    <w:p w14:paraId="4648F9DA">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3、若电梯验收不合格，或无法取得</w:t>
      </w:r>
      <w:r>
        <w:rPr>
          <w:rFonts w:hint="eastAsia" w:ascii="微软雅黑" w:hAnsi="微软雅黑" w:eastAsia="微软雅黑" w:cs="微软雅黑"/>
          <w:color w:val="000000"/>
          <w:sz w:val="24"/>
          <w:szCs w:val="24"/>
        </w:rPr>
        <w:t>电梯监督检验报告、监督检验证书</w:t>
      </w:r>
      <w:r>
        <w:rPr>
          <w:rFonts w:hint="eastAsia" w:ascii="微软雅黑" w:hAnsi="微软雅黑" w:eastAsia="微软雅黑" w:cs="微软雅黑"/>
          <w:color w:val="000000"/>
          <w:sz w:val="24"/>
          <w:szCs w:val="24"/>
        </w:rPr>
        <w:t>，卖方须继续完善安装，直至取得</w:t>
      </w:r>
      <w:r>
        <w:rPr>
          <w:rFonts w:hint="eastAsia" w:ascii="微软雅黑" w:hAnsi="微软雅黑" w:eastAsia="微软雅黑" w:cs="微软雅黑"/>
          <w:color w:val="000000"/>
          <w:sz w:val="24"/>
          <w:szCs w:val="24"/>
        </w:rPr>
        <w:t>电梯监督检验报告、监督检验证书</w:t>
      </w:r>
      <w:r>
        <w:rPr>
          <w:rFonts w:hint="eastAsia" w:ascii="微软雅黑" w:hAnsi="微软雅黑" w:eastAsia="微软雅黑" w:cs="微软雅黑"/>
          <w:color w:val="000000"/>
          <w:sz w:val="24"/>
          <w:szCs w:val="24"/>
        </w:rPr>
        <w:t>，其间一切费用由卖方承担。</w:t>
      </w:r>
    </w:p>
    <w:p w14:paraId="3142620A">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九、违约责任</w:t>
      </w:r>
    </w:p>
    <w:p w14:paraId="1C7EBD4D">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除不可抗力外，卖方未按合同规定期限交货，或买方未按合同规定期限付清货款的，违约方必须按逾期部分货款总额的每天</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的比例，向守约方支付逾期交货或逾期付款的误期损害赔偿金，此违约金最高不超过逾期部分合同款的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％。上述误期损害赔偿金是违约方对此类违约应付的且可预见的唯一损害赔偿费，对该误期损害赔偿金的支付不影响违约方按照合同规定应该继续履行的义务。</w:t>
      </w:r>
    </w:p>
    <w:p w14:paraId="367FFFB4">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十、售后及保修服务</w:t>
      </w:r>
    </w:p>
    <w:p w14:paraId="3E5A694E">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1、卖方必须有相应的保修服务人员配备，以处理所有的维修服务，需提供24小时服务，而且维修人员需要接到报修电话后2小时内赶到现场，提供不间断的服务直到维修结束。</w:t>
      </w:r>
    </w:p>
    <w:p w14:paraId="04040DB2">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卖方须对合同中规定的电梯按《产品质量法》和《消费者权益保护法》规定提供24个月质保期，在质保期内提供免费日常维护和保养及维修培训服务，时间从质量技术监督局验收合格之日算起，最迟不超过工厂最终出货期后的30个月。</w:t>
      </w:r>
    </w:p>
    <w:p w14:paraId="129B4322">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3、在质保期内，卖方应按《特种设备安全监察条例》中的有关规定和电梯使用说明书的规定进行为电梯的日常维护和保养及维修提供服务支持，确保电梯正常安全运行。</w:t>
      </w:r>
    </w:p>
    <w:p w14:paraId="68F762CC">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4、质保期内卖方负责免费修理和替换任何由于设备自身质量问题造成的损坏及故障。</w:t>
      </w:r>
    </w:p>
    <w:p w14:paraId="5AB1FFD7">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在保修期结束时，须由具备技术监督局检验资质的专业工程师依据国标规定对电梯设备进行一次测试，所检出的属质量保修范围的质量缺陷由卖方免费修理，并得到甲方认可。修理完成后，乙方应将修理及恢复时间和日期等报告给甲方，报告一式两份。</w:t>
      </w:r>
    </w:p>
    <w:p w14:paraId="167C039A">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6、在质保期内，如卖方服务不及时或维修后仍不能排除故障的，卖方应承担因此造成的有关责任和直接经济损失，此损失买方有权视情况从质量保证金中扣除。</w:t>
      </w:r>
    </w:p>
    <w:p w14:paraId="2B796BD1">
      <w:pPr>
        <w:pStyle w:val="2"/>
        <w:spacing w:line="360" w:lineRule="auto"/>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十</w:t>
      </w:r>
      <w:r>
        <w:rPr>
          <w:rFonts w:hint="eastAsia" w:ascii="微软雅黑" w:hAnsi="微软雅黑" w:eastAsia="微软雅黑" w:cs="微软雅黑"/>
          <w:b/>
          <w:color w:val="000000"/>
          <w:sz w:val="24"/>
          <w:szCs w:val="24"/>
          <w:lang w:val="en-US" w:eastAsia="zh-CN"/>
        </w:rPr>
        <w:t>一</w:t>
      </w:r>
      <w:r>
        <w:rPr>
          <w:rFonts w:hint="eastAsia" w:ascii="微软雅黑" w:hAnsi="微软雅黑" w:eastAsia="微软雅黑" w:cs="微软雅黑"/>
          <w:b/>
          <w:color w:val="000000"/>
          <w:sz w:val="24"/>
          <w:szCs w:val="24"/>
        </w:rPr>
        <w:t>、争议解决方式</w:t>
      </w:r>
    </w:p>
    <w:p w14:paraId="6558B914">
      <w:pPr>
        <w:pStyle w:val="2"/>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color w:val="000000"/>
          <w:kern w:val="0"/>
          <w:sz w:val="24"/>
          <w:szCs w:val="24"/>
          <w:lang w:val="en-US" w:eastAsia="zh-CN" w:bidi="ar-SA"/>
        </w:rPr>
        <w:t>凡因本合同引起的或与本合同有关的任何争议，均提交蚌埠仲裁委员会，按照该会的仲裁规则进行仲裁。仲裁裁决是终局的，对双方均有约束力。</w:t>
      </w:r>
    </w:p>
    <w:p w14:paraId="7CDA8677">
      <w:pPr>
        <w:keepNext w:val="0"/>
        <w:keepLines w:val="0"/>
        <w:pageBreakBefore w:val="0"/>
        <w:widowControl w:val="0"/>
        <w:kinsoku/>
        <w:wordWrap/>
        <w:overflowPunct/>
        <w:topLinePunct w:val="0"/>
        <w:autoSpaceDE/>
        <w:autoSpaceDN/>
        <w:bidi w:val="0"/>
        <w:adjustRightInd/>
        <w:snapToGrid/>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color w:val="000000"/>
          <w:kern w:val="0"/>
          <w:sz w:val="24"/>
          <w:szCs w:val="24"/>
          <w:lang w:val="en-US" w:eastAsia="zh-CN" w:bidi="ar-SA"/>
        </w:rPr>
        <w:t>十二、送达地址以及送达条款</w:t>
      </w:r>
    </w:p>
    <w:p w14:paraId="03545C35">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12.1送达地址以及方式</w:t>
      </w:r>
    </w:p>
    <w:p w14:paraId="532D6FC8">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12.1.1送达地址</w:t>
      </w:r>
    </w:p>
    <w:p w14:paraId="6C71D5FD">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（1）.甲方确认送达地址如下：</w:t>
      </w:r>
    </w:p>
    <w:p w14:paraId="59C7091F">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地址：    省    市    区/县    路    号，</w:t>
      </w:r>
    </w:p>
    <w:p w14:paraId="38AE8801">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邮编：            ，</w:t>
      </w:r>
    </w:p>
    <w:p w14:paraId="2E6F7030">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联系人：      ，</w:t>
      </w:r>
    </w:p>
    <w:p w14:paraId="46FD866C">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联系电话：      -            。</w:t>
      </w:r>
    </w:p>
    <w:p w14:paraId="51D5140D">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甲方电子送达方式如下：</w:t>
      </w:r>
    </w:p>
    <w:p w14:paraId="38773FCC">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手机短信：                  </w:t>
      </w:r>
    </w:p>
    <w:p w14:paraId="7EC6DF9C">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传真：      -            </w:t>
      </w:r>
    </w:p>
    <w:p w14:paraId="107B2EAB">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即时通讯账号（微信号）：                  </w:t>
      </w:r>
    </w:p>
    <w:p w14:paraId="47D4D690">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电子邮箱：            。</w:t>
      </w:r>
    </w:p>
    <w:p w14:paraId="6E2BBC01">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（2）.乙方确认送达地址如下：</w:t>
      </w:r>
    </w:p>
    <w:p w14:paraId="6487E98E">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地址：    省    市    区/县    路    号，</w:t>
      </w:r>
    </w:p>
    <w:p w14:paraId="06703B69">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邮编：            ，</w:t>
      </w:r>
    </w:p>
    <w:p w14:paraId="5BD658FE">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联系人：      ，</w:t>
      </w:r>
    </w:p>
    <w:p w14:paraId="34488A7C">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联系电话：      -            。</w:t>
      </w:r>
    </w:p>
    <w:p w14:paraId="3B5AEC8A">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乙方电子送达方式如下：</w:t>
      </w:r>
    </w:p>
    <w:p w14:paraId="5552C822">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手机短信：                  </w:t>
      </w:r>
    </w:p>
    <w:p w14:paraId="06AF9F65">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传真：      -            </w:t>
      </w:r>
    </w:p>
    <w:p w14:paraId="1F87174C">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即时通讯账号（微信号）：                  </w:t>
      </w:r>
    </w:p>
    <w:p w14:paraId="21A0A74B">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电子邮箱：</w:t>
      </w:r>
    </w:p>
    <w:p w14:paraId="1AC5EF2B">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12.1.2送达方式</w:t>
      </w:r>
    </w:p>
    <w:p w14:paraId="4A839FDF">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 双方同意，本合同项下的通知、函件、诉讼文书等文件，以下列方式送达对方：</w:t>
      </w:r>
    </w:p>
    <w:p w14:paraId="1932BA3C">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（1）.直接送达：将文件送至对方指定的送达地址，视为已送达；</w:t>
      </w:r>
    </w:p>
    <w:p w14:paraId="7CDC743A">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（2）.邮寄送达：将文件通过挂号信、特快专递等方式寄至对方指定的送达地址，以邮戳日期为准，视为已送达；</w:t>
      </w:r>
    </w:p>
    <w:p w14:paraId="260CA025">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（3）.电子送达：将文件通过电子邮件、短信、微信等方式发送至对方指定的电子邮箱、手机号码等，发送成功即视为已送达。</w:t>
      </w:r>
    </w:p>
    <w:p w14:paraId="4984A67E">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12.2送达条款</w:t>
      </w:r>
    </w:p>
    <w:p w14:paraId="25F70241">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12.2.1本送达条款适用于合同履行履行期间及合同纠纷解决过程中的所有文件送达。</w:t>
      </w:r>
    </w:p>
    <w:p w14:paraId="3A548401">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12.2.2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06512C2">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12.2.3双方在合同履行过程中由双方共同明示或默示确认的合同约定外的送达地址和联系方式不影响送达效力。</w:t>
      </w:r>
    </w:p>
    <w:p w14:paraId="0D396D51">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12.2.4双方认同电子送达效力，合同履行过程中或法院、仲裁委员会按照法律或适时有效的仲裁规则需要进行电子送达的，内容自进入双方接收系统之日起，视为送达成功。</w:t>
      </w:r>
    </w:p>
    <w:p w14:paraId="477FA60F">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12.2.5双方应当保证本合同约定送达地址以及联系方式为有效地址及联系方式。一方变更送达信息的，应在变更后一日内通知对方，未及时通知的，发送方按照原约定方式送达，视为送达成功。</w:t>
      </w:r>
    </w:p>
    <w:p w14:paraId="15974EE0">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12.2.6双方发生争议，关于裁判机构的送达文书，接收方存在以下行为之一的，蚌埠仲裁委员会有权依据法律和适时有效的仲裁规则规定进行送达，法律与仲裁规则规定程序完成之日，视为送达成功：</w:t>
      </w:r>
    </w:p>
    <w:p w14:paraId="5544541E">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（1）.擅自变更送达地址及信息且未及时通知对方的；</w:t>
      </w:r>
    </w:p>
    <w:p w14:paraId="5DAC6784">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（2）.送达地址与信息同工商登记信息不一致且未及时更改的；</w:t>
      </w:r>
    </w:p>
    <w:p w14:paraId="3BC0E70B">
      <w:pPr>
        <w:spacing w:line="360" w:lineRule="auto"/>
        <w:ind w:right="-58"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（3）.故意不接收蚌埠仲裁委员会送达文书的；</w:t>
      </w:r>
    </w:p>
    <w:p w14:paraId="7282984F">
      <w:pPr>
        <w:spacing w:line="360" w:lineRule="auto"/>
        <w:ind w:right="-58"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kern w:val="0"/>
          <w:sz w:val="24"/>
          <w:szCs w:val="24"/>
          <w:lang w:val="en-US" w:eastAsia="zh-CN" w:bidi="ar-SA"/>
        </w:rPr>
        <w:t>（4）.因接收方过错造成无法正常送达的其他行为。</w:t>
      </w:r>
    </w:p>
    <w:p w14:paraId="51D708A6">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w:t>
      </w:r>
      <w:r>
        <w:rPr>
          <w:rFonts w:hint="eastAsia" w:ascii="微软雅黑" w:hAnsi="微软雅黑" w:eastAsia="微软雅黑" w:cs="微软雅黑"/>
          <w:b/>
          <w:color w:val="000000"/>
          <w:sz w:val="24"/>
          <w:szCs w:val="24"/>
          <w:lang w:val="en-US" w:eastAsia="zh-CN"/>
        </w:rPr>
        <w:t>二</w:t>
      </w:r>
      <w:r>
        <w:rPr>
          <w:rFonts w:hint="eastAsia" w:ascii="微软雅黑" w:hAnsi="微软雅黑" w:eastAsia="微软雅黑" w:cs="微软雅黑"/>
          <w:b/>
          <w:color w:val="000000"/>
          <w:sz w:val="24"/>
          <w:szCs w:val="24"/>
        </w:rPr>
        <w:t>、其它</w:t>
      </w:r>
    </w:p>
    <w:p w14:paraId="456EFD39">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1、若买方延迟提货，须提前21天通知卖方，买方不收取保管费用。</w:t>
      </w:r>
    </w:p>
    <w:p w14:paraId="05D1A4D0">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2、本合同产品的风险自交付之日起转移。但不论何种情况，买方在没有付清本合同项下全部货款而提取产品的，该产品的所有权按付款比例归买卖双方所有。</w:t>
      </w:r>
    </w:p>
    <w:p w14:paraId="6BB6137D">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3、本合同价格不包括产品安装费，《产品安装合同》的签订应遵守国务院《特种设备安全监察条例》（第549号令）第十七条规定。</w:t>
      </w:r>
    </w:p>
    <w:p w14:paraId="009C54C3">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4、本合同及附件中的选择项以“√”示选定，以“×”示否定，“产品规格表”以双方授权签署人的签字并加盖公章以示确认。</w:t>
      </w:r>
    </w:p>
    <w:p w14:paraId="4D08729D">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5、本合同签订时，需要对合同条款增加和更改的，双方应在“另行约定事项”中约定，经双方授权签署人签字并加盖公章后生效。</w:t>
      </w:r>
    </w:p>
    <w:p w14:paraId="0529EB1F">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6、本合同生效后，需要对原条款进行变更的，双方应另行签订“合同修改书”，经双方单位盖章后生效。</w:t>
      </w:r>
    </w:p>
    <w:p w14:paraId="3D95CAE3">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7、“产品规格表”、“土建技术要求”、“电梯安装图纸”、“另行约定事项”、“合同修改书”、“产品样本” 及其他与本合同有关的协议均为本合同之附件，属本合同不可分割部分，具有同等效力。</w:t>
      </w:r>
    </w:p>
    <w:p w14:paraId="3C1FDA23">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8、买方自行对本合同产品进行额外装潢的，装潢设计方案需经卖方技术部门确认。未经确认，擅自装潢而造成的一切后果由买方承担。</w:t>
      </w:r>
    </w:p>
    <w:p w14:paraId="5EEC15A0">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9、组成本合同的文件包括：</w:t>
      </w:r>
    </w:p>
    <w:p w14:paraId="33B27F84">
      <w:pPr>
        <w:pStyle w:val="2"/>
        <w:numPr>
          <w:ilvl w:val="0"/>
          <w:numId w:val="1"/>
        </w:num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本合同书</w:t>
      </w:r>
    </w:p>
    <w:p w14:paraId="03D1A7AA">
      <w:pPr>
        <w:pStyle w:val="2"/>
        <w:numPr>
          <w:ilvl w:val="0"/>
          <w:numId w:val="1"/>
        </w:num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招标文件</w:t>
      </w:r>
    </w:p>
    <w:p w14:paraId="25603EAF">
      <w:pPr>
        <w:pStyle w:val="2"/>
        <w:numPr>
          <w:ilvl w:val="0"/>
          <w:numId w:val="1"/>
        </w:num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投标文件、投标过程中的全部承诺</w:t>
      </w:r>
    </w:p>
    <w:p w14:paraId="08AABCA6">
      <w:pPr>
        <w:pStyle w:val="2"/>
        <w:numPr>
          <w:ilvl w:val="0"/>
          <w:numId w:val="1"/>
        </w:num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标准、规范及买提出的有关要求</w:t>
      </w:r>
    </w:p>
    <w:p w14:paraId="32080E79">
      <w:pPr>
        <w:pStyle w:val="2"/>
        <w:numPr>
          <w:ilvl w:val="0"/>
          <w:numId w:val="1"/>
        </w:num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图纸</w:t>
      </w:r>
    </w:p>
    <w:p w14:paraId="5C154B52">
      <w:pPr>
        <w:pStyle w:val="2"/>
        <w:numPr>
          <w:ilvl w:val="0"/>
          <w:numId w:val="1"/>
        </w:numPr>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经双方确认的洽商、变更、补充协议或文件视为本合同的组成部分。</w:t>
      </w:r>
    </w:p>
    <w:p w14:paraId="00062A85">
      <w:pPr>
        <w:pStyle w:val="2"/>
        <w:spacing w:after="312" w:afterLines="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11、本合同一式捌份，买方执伍份、卖方执叁份。</w:t>
      </w:r>
    </w:p>
    <w:p w14:paraId="0511424C">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附件一  产品规格表</w:t>
      </w:r>
    </w:p>
    <w:p w14:paraId="4491B958">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附件二 设备功能综合表</w:t>
      </w:r>
    </w:p>
    <w:p w14:paraId="6ACED9C1">
      <w:pPr>
        <w:pStyle w:val="2"/>
        <w:spacing w:after="312" w:afterLines="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附件三 三期电梯数据表</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4A1F0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655FC50B">
            <w:pPr>
              <w:pStyle w:val="2"/>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签署时间：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w:t>
            </w:r>
          </w:p>
        </w:tc>
      </w:tr>
      <w:tr w14:paraId="3AE91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3284A001">
            <w:pPr>
              <w:pStyle w:val="2"/>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甲方（盖章）：</w:t>
            </w:r>
          </w:p>
        </w:tc>
      </w:tr>
      <w:tr w14:paraId="2DD05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43749C52">
            <w:pPr>
              <w:pStyle w:val="2"/>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法定代表人或授权代表（签字）：</w:t>
            </w:r>
            <w:r>
              <w:rPr>
                <w:rFonts w:hint="eastAsia" w:ascii="微软雅黑" w:hAnsi="微软雅黑" w:eastAsia="微软雅黑" w:cs="微软雅黑"/>
                <w:color w:val="000000"/>
                <w:sz w:val="24"/>
                <w:szCs w:val="24"/>
                <w:u w:val="single"/>
              </w:rPr>
              <w:t xml:space="preserve">           </w:t>
            </w:r>
          </w:p>
        </w:tc>
      </w:tr>
      <w:tr w14:paraId="2C542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7671D9DB">
            <w:pPr>
              <w:pStyle w:val="2"/>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乙方（盖章）：</w:t>
            </w:r>
          </w:p>
        </w:tc>
      </w:tr>
      <w:tr w14:paraId="1A727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718DD1E9">
            <w:pPr>
              <w:pStyle w:val="2"/>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法定代表人或授权代表（签字）：</w:t>
            </w:r>
            <w:r>
              <w:rPr>
                <w:rFonts w:hint="eastAsia" w:ascii="微软雅黑" w:hAnsi="微软雅黑" w:eastAsia="微软雅黑" w:cs="微软雅黑"/>
                <w:color w:val="000000"/>
                <w:sz w:val="24"/>
                <w:szCs w:val="24"/>
                <w:u w:val="single"/>
              </w:rPr>
              <w:t xml:space="preserve">           </w:t>
            </w:r>
          </w:p>
        </w:tc>
      </w:tr>
    </w:tbl>
    <w:p w14:paraId="544F63A3">
      <w:pPr>
        <w:pStyle w:val="2"/>
        <w:wordWrap w:val="0"/>
        <w:spacing w:line="360" w:lineRule="auto"/>
        <w:rPr>
          <w:rFonts w:hint="eastAsia" w:ascii="微软雅黑" w:hAnsi="微软雅黑" w:eastAsia="微软雅黑" w:cs="微软雅黑"/>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D4712D"/>
    <w:multiLevelType w:val="multilevel"/>
    <w:tmpl w:val="64D4712D"/>
    <w:lvl w:ilvl="0" w:tentative="0">
      <w:start w:val="1"/>
      <w:numFmt w:val="bullet"/>
      <w:lvlText w:val=""/>
      <w:lvlJc w:val="left"/>
      <w:pPr>
        <w:ind w:left="720" w:hanging="360"/>
      </w:pPr>
      <w:rPr>
        <w:rFonts w:ascii="Symbol" w:hAnsi="Symbol" w:cs="Symbol"/>
      </w:rPr>
    </w:lvl>
    <w:lvl w:ilvl="1" w:tentative="0">
      <w:start w:val="1"/>
      <w:numFmt w:val="decimal"/>
      <w:lvlText w:val="%2."/>
      <w:lvlJc w:val="left"/>
      <w:pPr>
        <w:ind w:left="1080" w:hanging="360"/>
      </w:pPr>
    </w:lvl>
    <w:lvl w:ilvl="2" w:tentative="0">
      <w:start w:val="1"/>
      <w:numFmt w:val="decimal"/>
      <w:lvlText w:val="%3."/>
      <w:lvlJc w:val="left"/>
      <w:pPr>
        <w:ind w:left="1440" w:hanging="360"/>
      </w:pPr>
    </w:lvl>
    <w:lvl w:ilvl="3" w:tentative="0">
      <w:start w:val="1"/>
      <w:numFmt w:val="decimal"/>
      <w:lvlText w:val="%4."/>
      <w:lvlJc w:val="left"/>
      <w:pPr>
        <w:ind w:left="1800" w:hanging="360"/>
      </w:pPr>
    </w:lvl>
    <w:lvl w:ilvl="4" w:tentative="0">
      <w:start w:val="1"/>
      <w:numFmt w:val="decimal"/>
      <w:lvlText w:val="%5."/>
      <w:lvlJc w:val="left"/>
      <w:pPr>
        <w:ind w:left="2160" w:hanging="360"/>
      </w:pPr>
    </w:lvl>
    <w:lvl w:ilvl="5" w:tentative="0">
      <w:start w:val="1"/>
      <w:numFmt w:val="decimal"/>
      <w:lvlText w:val="%6."/>
      <w:lvlJc w:val="left"/>
      <w:pPr>
        <w:ind w:left="2520" w:hanging="360"/>
      </w:pPr>
    </w:lvl>
    <w:lvl w:ilvl="6" w:tentative="0">
      <w:start w:val="1"/>
      <w:numFmt w:val="decimal"/>
      <w:lvlText w:val="%7."/>
      <w:lvlJc w:val="left"/>
      <w:pPr>
        <w:ind w:left="2880" w:hanging="360"/>
      </w:pPr>
    </w:lvl>
    <w:lvl w:ilvl="7" w:tentative="0">
      <w:start w:val="1"/>
      <w:numFmt w:val="decimal"/>
      <w:lvlText w:val="%8."/>
      <w:lvlJc w:val="left"/>
      <w:pPr>
        <w:ind w:left="3240" w:hanging="360"/>
      </w:pPr>
    </w:lvl>
    <w:lvl w:ilvl="8" w:tentative="0">
      <w:start w:val="1"/>
      <w:numFmt w:val="decimal"/>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713"/>
    <w:rsid w:val="00181713"/>
    <w:rsid w:val="00286DB9"/>
    <w:rsid w:val="00B74D74"/>
    <w:rsid w:val="44584296"/>
    <w:rsid w:val="5D574759"/>
    <w:rsid w:val="72E121A4"/>
    <w:rsid w:val="CBD84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99"/>
    <w:pPr>
      <w:widowControl/>
      <w:spacing w:before="90"/>
      <w:jc w:val="left"/>
    </w:pPr>
    <w:rPr>
      <w:rFonts w:ascii="Times New Roman" w:hAnsi="Times New Roman" w:cs="Times New Roman"/>
      <w:kern w:val="0"/>
      <w:sz w:val="24"/>
      <w:szCs w:val="20"/>
    </w:rPr>
  </w:style>
  <w:style w:type="paragraph" w:styleId="3">
    <w:name w:val="Title"/>
    <w:basedOn w:val="1"/>
    <w:next w:val="1"/>
    <w:link w:val="7"/>
    <w:autoRedefine/>
    <w:qFormat/>
    <w:uiPriority w:val="10"/>
    <w:pPr>
      <w:spacing w:before="240" w:after="60"/>
      <w:jc w:val="center"/>
      <w:outlineLvl w:val="0"/>
    </w:pPr>
    <w:rPr>
      <w:rFonts w:eastAsia="黑体" w:asciiTheme="majorHAnsi" w:hAnsiTheme="majorHAnsi" w:cstheme="majorBidi"/>
      <w:b/>
      <w:bCs/>
      <w:sz w:val="32"/>
      <w:szCs w:val="32"/>
    </w:rPr>
  </w:style>
  <w:style w:type="table" w:styleId="5">
    <w:name w:val="Table Grid"/>
    <w:basedOn w:val="4"/>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字符"/>
    <w:basedOn w:val="6"/>
    <w:link w:val="3"/>
    <w:qFormat/>
    <w:uiPriority w:val="10"/>
    <w:rPr>
      <w:rFonts w:eastAsia="黑体" w:asciiTheme="majorHAnsi" w:hAnsiTheme="majorHAnsi" w:cstheme="majorBidi"/>
      <w:b/>
      <w:bCs/>
      <w:sz w:val="32"/>
      <w:szCs w:val="32"/>
    </w:rPr>
  </w:style>
  <w:style w:type="table" w:customStyle="1" w:styleId="8">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3975</Words>
  <Characters>4047</Characters>
  <Lines>25</Lines>
  <Paragraphs>7</Paragraphs>
  <TotalTime>2</TotalTime>
  <ScaleCrop>false</ScaleCrop>
  <LinksUpToDate>false</LinksUpToDate>
  <CharactersWithSpaces>4660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2019-02-25T21:10:00Z</dcterms:created>
  <dc:creator>雯 张</dc:creator>
  <cp:lastModifiedBy>豪</cp:lastModifiedBy>
  <dcterms:modified xsi:type="dcterms:W3CDTF">2026-03-22T06:47:27Z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479F8CA5BA688793BE802D68FC94ABC3_42</vt:lpwstr>
  </property>
  <property fmtid="{D5CDD505-2E9C-101B-9397-08002B2CF9AE}" pid="4" name="KSOTemplateDocerSaveRecord">
    <vt:lpwstr>eyJoZGlkIjoiNTg0MzMyNGJiMDEzODc5ODNlMGVjODViOWRkZjg1MDgiLCJ1c2VySWQiOiIxMjc2Mzc3NjgxIn0=</vt:lpwstr>
  </property>
</Properties>
</file>