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4D429">
      <w:pPr>
        <w:pStyle w:val="3"/>
        <w:jc w:val="center"/>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蜂产品买卖合同</w:t>
      </w:r>
    </w:p>
    <w:bookmarkEnd w:id="0"/>
    <w:p w14:paraId="0246608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甲方（买方）：</w:t>
      </w:r>
      <w:r>
        <w:rPr>
          <w:rFonts w:hint="eastAsia" w:ascii="微软雅黑" w:hAnsi="微软雅黑" w:eastAsia="微软雅黑" w:cs="微软雅黑"/>
          <w:color w:val="000000"/>
          <w:sz w:val="24"/>
          <w:szCs w:val="24"/>
          <w:u w:val="single"/>
        </w:rPr>
        <w:t>                    </w:t>
      </w:r>
    </w:p>
    <w:p w14:paraId="12ED7425">
      <w:pPr>
        <w:pStyle w:val="4"/>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412D9813">
      <w:pPr>
        <w:pStyle w:val="4"/>
        <w:spacing w:line="360" w:lineRule="auto"/>
        <w:ind w:firstLine="480" w:firstLineChars="200"/>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乙方（卖方）：</w:t>
      </w:r>
      <w:r>
        <w:rPr>
          <w:rFonts w:hint="eastAsia" w:ascii="微软雅黑" w:hAnsi="微软雅黑" w:eastAsia="微软雅黑" w:cs="微软雅黑"/>
          <w:color w:val="000000"/>
          <w:sz w:val="24"/>
          <w:szCs w:val="24"/>
          <w:u w:val="single"/>
        </w:rPr>
        <w:t>                    </w:t>
      </w:r>
    </w:p>
    <w:p w14:paraId="0FA78C97">
      <w:pPr>
        <w:pStyle w:val="4"/>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住所：</w:t>
      </w:r>
      <w:r>
        <w:rPr>
          <w:rFonts w:hint="eastAsia" w:ascii="微软雅黑" w:hAnsi="微软雅黑" w:eastAsia="微软雅黑" w:cs="微软雅黑"/>
          <w:color w:val="000000"/>
          <w:sz w:val="24"/>
          <w:szCs w:val="24"/>
          <w:u w:val="single"/>
        </w:rPr>
        <w:t>                         </w:t>
      </w:r>
    </w:p>
    <w:p w14:paraId="513EFC43">
      <w:pPr>
        <w:pStyle w:val="4"/>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根据《中华人民共和国合同法》及其他法律法规的规定，甲乙双方在自愿、平等、公平、诚实信用的基础上，就蜂产品原料买卖的有关事宜达成如下协议。</w:t>
      </w:r>
    </w:p>
    <w:p w14:paraId="0C9B117A">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第一条  产品基本信息及交货时间</w:t>
      </w:r>
    </w:p>
    <w:tbl>
      <w:tblPr>
        <w:tblStyle w:val="8"/>
        <w:tblW w:w="5000" w:type="pct"/>
        <w:tblInd w:w="0" w:type="dxa"/>
        <w:tblLayout w:type="autofit"/>
        <w:tblCellMar>
          <w:top w:w="0" w:type="dxa"/>
          <w:left w:w="108" w:type="dxa"/>
          <w:bottom w:w="0" w:type="dxa"/>
          <w:right w:w="108" w:type="dxa"/>
        </w:tblCellMar>
      </w:tblPr>
      <w:tblGrid>
        <w:gridCol w:w="1478"/>
        <w:gridCol w:w="1292"/>
        <w:gridCol w:w="1292"/>
        <w:gridCol w:w="1292"/>
        <w:gridCol w:w="3168"/>
      </w:tblGrid>
      <w:tr w14:paraId="45E7B388">
        <w:tblPrEx>
          <w:tblCellMar>
            <w:top w:w="0" w:type="dxa"/>
            <w:left w:w="108" w:type="dxa"/>
            <w:bottom w:w="0" w:type="dxa"/>
            <w:right w:w="108" w:type="dxa"/>
          </w:tblCellMar>
        </w:tblPrEx>
        <w:trPr>
          <w:trHeight w:val="216" w:hRule="atLeast"/>
        </w:trPr>
        <w:tc>
          <w:tcPr>
            <w:tcW w:w="867" w:type="pct"/>
            <w:tcBorders>
              <w:top w:val="single" w:color="000000" w:sz="6" w:space="0"/>
              <w:left w:val="single" w:color="000000" w:sz="6" w:space="0"/>
              <w:bottom w:val="single" w:color="000000" w:sz="6" w:space="0"/>
              <w:right w:val="single" w:color="000000" w:sz="6" w:space="0"/>
            </w:tcBorders>
          </w:tcPr>
          <w:p w14:paraId="5AFE10F0">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品名</w:t>
            </w:r>
          </w:p>
        </w:tc>
        <w:tc>
          <w:tcPr>
            <w:tcW w:w="758" w:type="pct"/>
            <w:tcBorders>
              <w:top w:val="single" w:color="000000" w:sz="6" w:space="0"/>
              <w:left w:val="single" w:color="000000" w:sz="6" w:space="0"/>
              <w:bottom w:val="single" w:color="000000" w:sz="6" w:space="0"/>
              <w:right w:val="single" w:color="000000" w:sz="6" w:space="0"/>
            </w:tcBorders>
          </w:tcPr>
          <w:p w14:paraId="1E811C4F">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等级</w:t>
            </w:r>
          </w:p>
        </w:tc>
        <w:tc>
          <w:tcPr>
            <w:tcW w:w="758" w:type="pct"/>
            <w:tcBorders>
              <w:top w:val="single" w:color="000000" w:sz="6" w:space="0"/>
              <w:left w:val="single" w:color="000000" w:sz="6" w:space="0"/>
              <w:bottom w:val="single" w:color="000000" w:sz="6" w:space="0"/>
              <w:right w:val="single" w:color="000000" w:sz="6" w:space="0"/>
            </w:tcBorders>
          </w:tcPr>
          <w:p w14:paraId="3168FB9D">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数量</w:t>
            </w:r>
          </w:p>
        </w:tc>
        <w:tc>
          <w:tcPr>
            <w:tcW w:w="758" w:type="pct"/>
            <w:tcBorders>
              <w:top w:val="single" w:color="000000" w:sz="6" w:space="0"/>
              <w:left w:val="single" w:color="000000" w:sz="6" w:space="0"/>
              <w:bottom w:val="single" w:color="000000" w:sz="6" w:space="0"/>
              <w:right w:val="single" w:color="000000" w:sz="6" w:space="0"/>
            </w:tcBorders>
          </w:tcPr>
          <w:p w14:paraId="35DA1050">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单价</w:t>
            </w:r>
          </w:p>
        </w:tc>
        <w:tc>
          <w:tcPr>
            <w:tcW w:w="1859" w:type="pct"/>
            <w:tcBorders>
              <w:top w:val="single" w:color="000000" w:sz="6" w:space="0"/>
              <w:left w:val="single" w:color="000000" w:sz="6" w:space="0"/>
              <w:bottom w:val="single" w:color="000000" w:sz="6" w:space="0"/>
              <w:right w:val="single" w:color="000000" w:sz="6" w:space="0"/>
            </w:tcBorders>
          </w:tcPr>
          <w:p w14:paraId="3286C4E6">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金额（元）</w:t>
            </w:r>
          </w:p>
        </w:tc>
      </w:tr>
      <w:tr w14:paraId="5143B694">
        <w:tblPrEx>
          <w:tblCellMar>
            <w:top w:w="0" w:type="dxa"/>
            <w:left w:w="108" w:type="dxa"/>
            <w:bottom w:w="0" w:type="dxa"/>
            <w:right w:w="108" w:type="dxa"/>
          </w:tblCellMar>
        </w:tblPrEx>
        <w:trPr>
          <w:trHeight w:val="315" w:hRule="atLeast"/>
        </w:trPr>
        <w:tc>
          <w:tcPr>
            <w:tcW w:w="867" w:type="pct"/>
            <w:tcBorders>
              <w:top w:val="single" w:color="000000" w:sz="6" w:space="0"/>
              <w:left w:val="single" w:color="000000" w:sz="6" w:space="0"/>
              <w:bottom w:val="single" w:color="000000" w:sz="6" w:space="0"/>
              <w:right w:val="single" w:color="000000" w:sz="6" w:space="0"/>
            </w:tcBorders>
          </w:tcPr>
          <w:p w14:paraId="6358EDF7">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0EC53D0E">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1D410232">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21788F6F">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859" w:type="pct"/>
            <w:tcBorders>
              <w:top w:val="single" w:color="000000" w:sz="6" w:space="0"/>
              <w:left w:val="single" w:color="000000" w:sz="6" w:space="0"/>
              <w:bottom w:val="single" w:color="000000" w:sz="6" w:space="0"/>
              <w:right w:val="single" w:color="000000" w:sz="6" w:space="0"/>
            </w:tcBorders>
          </w:tcPr>
          <w:p w14:paraId="4B0EA214">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3F5E57F7">
        <w:tblPrEx>
          <w:tblCellMar>
            <w:top w:w="0" w:type="dxa"/>
            <w:left w:w="108" w:type="dxa"/>
            <w:bottom w:w="0" w:type="dxa"/>
            <w:right w:w="108" w:type="dxa"/>
          </w:tblCellMar>
        </w:tblPrEx>
        <w:trPr>
          <w:trHeight w:val="315" w:hRule="atLeast"/>
        </w:trPr>
        <w:tc>
          <w:tcPr>
            <w:tcW w:w="867" w:type="pct"/>
            <w:tcBorders>
              <w:top w:val="single" w:color="000000" w:sz="6" w:space="0"/>
              <w:left w:val="single" w:color="000000" w:sz="6" w:space="0"/>
              <w:bottom w:val="single" w:color="000000" w:sz="6" w:space="0"/>
              <w:right w:val="single" w:color="000000" w:sz="6" w:space="0"/>
            </w:tcBorders>
          </w:tcPr>
          <w:p w14:paraId="408C2B04">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74BC0BF0">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42C99F37">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7361996A">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859" w:type="pct"/>
            <w:tcBorders>
              <w:top w:val="single" w:color="000000" w:sz="6" w:space="0"/>
              <w:left w:val="single" w:color="000000" w:sz="6" w:space="0"/>
              <w:bottom w:val="single" w:color="000000" w:sz="6" w:space="0"/>
              <w:right w:val="single" w:color="000000" w:sz="6" w:space="0"/>
            </w:tcBorders>
          </w:tcPr>
          <w:p w14:paraId="2125FDEC">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r w14:paraId="52DA2765">
        <w:tblPrEx>
          <w:tblCellMar>
            <w:top w:w="0" w:type="dxa"/>
            <w:left w:w="108" w:type="dxa"/>
            <w:bottom w:w="0" w:type="dxa"/>
            <w:right w:w="108" w:type="dxa"/>
          </w:tblCellMar>
        </w:tblPrEx>
        <w:trPr>
          <w:trHeight w:val="315" w:hRule="atLeast"/>
        </w:trPr>
        <w:tc>
          <w:tcPr>
            <w:tcW w:w="867" w:type="pct"/>
            <w:tcBorders>
              <w:top w:val="single" w:color="000000" w:sz="6" w:space="0"/>
              <w:left w:val="single" w:color="000000" w:sz="6" w:space="0"/>
              <w:bottom w:val="single" w:color="000000" w:sz="6" w:space="0"/>
              <w:right w:val="single" w:color="000000" w:sz="6" w:space="0"/>
            </w:tcBorders>
          </w:tcPr>
          <w:p w14:paraId="6103C5DA">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3D21479E">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7977752E">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758" w:type="pct"/>
            <w:tcBorders>
              <w:top w:val="single" w:color="000000" w:sz="6" w:space="0"/>
              <w:left w:val="single" w:color="000000" w:sz="6" w:space="0"/>
              <w:bottom w:val="single" w:color="000000" w:sz="6" w:space="0"/>
              <w:right w:val="single" w:color="000000" w:sz="6" w:space="0"/>
            </w:tcBorders>
          </w:tcPr>
          <w:p w14:paraId="61AA500D">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c>
          <w:tcPr>
            <w:tcW w:w="1859" w:type="pct"/>
            <w:tcBorders>
              <w:top w:val="single" w:color="000000" w:sz="6" w:space="0"/>
              <w:left w:val="single" w:color="000000" w:sz="6" w:space="0"/>
              <w:bottom w:val="single" w:color="000000" w:sz="6" w:space="0"/>
              <w:right w:val="single" w:color="000000" w:sz="6" w:space="0"/>
            </w:tcBorders>
          </w:tcPr>
          <w:p w14:paraId="1FF33D52">
            <w:pPr>
              <w:spacing w:line="360" w:lineRule="auto"/>
              <w:ind w:firstLine="480" w:firstLineChars="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 </w:t>
            </w:r>
          </w:p>
        </w:tc>
      </w:tr>
    </w:tbl>
    <w:p w14:paraId="28AD3337">
      <w:pPr>
        <w:pStyle w:val="4"/>
        <w:spacing w:before="12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第二条  产品的各项指标及质量要求</w:t>
      </w:r>
    </w:p>
    <w:p w14:paraId="523BB640">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水分：</w:t>
      </w:r>
      <w:r>
        <w:rPr>
          <w:rFonts w:hint="eastAsia" w:ascii="微软雅黑" w:hAnsi="微软雅黑" w:eastAsia="微软雅黑" w:cs="微软雅黑"/>
          <w:color w:val="000000"/>
          <w:sz w:val="24"/>
          <w:szCs w:val="24"/>
        </w:rPr>
        <w:t>18</w:t>
      </w:r>
      <w:r>
        <w:rPr>
          <w:rFonts w:hint="eastAsia" w:ascii="微软雅黑" w:hAnsi="微软雅黑" w:eastAsia="微软雅黑" w:cs="微软雅黑"/>
          <w:color w:val="000000"/>
          <w:sz w:val="24"/>
          <w:szCs w:val="24"/>
        </w:rPr>
        <w:t>%</w:t>
      </w:r>
    </w:p>
    <w:p w14:paraId="51C5958E">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10</w:t>
      </w:r>
      <w:r>
        <w:rPr>
          <w:rFonts w:hint="eastAsia" w:ascii="微软雅黑" w:hAnsi="微软雅黑" w:eastAsia="微软雅黑" w:cs="微软雅黑"/>
          <w:color w:val="000000"/>
          <w:sz w:val="24"/>
          <w:szCs w:val="24"/>
        </w:rPr>
        <w:t>－羟基－</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－癸烯酸（王浆酸）：40%</w:t>
      </w:r>
    </w:p>
    <w:p w14:paraId="718482DE">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乙醇可溶物：75%</w:t>
      </w:r>
    </w:p>
    <w:p w14:paraId="1774724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色泽：水白色（或者特白色、白色、浅琥珀色、琥珀色、深琥珀色）。</w:t>
      </w:r>
    </w:p>
    <w:p w14:paraId="504F2B76">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气味：有蜜源植物的花的气味，没有酸或酒的挥发性气味及其它异味。</w:t>
      </w:r>
    </w:p>
    <w:p w14:paraId="7313A243">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滋味：甜（或者甜润、甜腻、微苦、涩）。</w:t>
      </w:r>
    </w:p>
    <w:p w14:paraId="5B49028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状态：常温下呈黏稠流体状态，或部分及全部结晶。不应有发酵征状。</w:t>
      </w:r>
    </w:p>
    <w:p w14:paraId="53F23AFC">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杂质：不应含有蜜蜂肢体、幼虫、蜡屑及其它正常视力可见外来杂物</w:t>
      </w:r>
    </w:p>
    <w:p w14:paraId="7F1D578C">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结构：密实，折断时断面不整齐。</w:t>
      </w:r>
    </w:p>
    <w:p w14:paraId="33D06611">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硬度：20℃～40℃时有粘滞性，低于20℃时质硬。</w:t>
      </w:r>
    </w:p>
    <w:p w14:paraId="203B88FD">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对产品质量的其他约定：</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p>
    <w:p w14:paraId="06B2B2F0">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未做特别约定的有关指标，应参照下列标准：</w:t>
      </w:r>
    </w:p>
    <w:p w14:paraId="14DDA0FA">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《中国蜂产品协会团体标准蜂蜜》（T/CBPA0001-2015）</w:t>
      </w:r>
    </w:p>
    <w:p w14:paraId="086DA812">
      <w:pPr>
        <w:pStyle w:val="4"/>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第三条</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蜜蜂饲养及产品采集、包装、保存、运输的具体要求</w:t>
      </w:r>
    </w:p>
    <w:p w14:paraId="74693415">
      <w:pPr>
        <w:pStyle w:val="4"/>
        <w:spacing w:line="360" w:lineRule="auto"/>
        <w:ind w:firstLine="600" w:firstLineChars="25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1）非零售包装：非零售包装的包装钢桶应符合GH/T1015-1999要求。钢桶包装内涂层和内胆有破损不得使用，也可使用其它带盖的食品包装容器。不应使用盛装过药品、燃料油、食用油或其它化工产品的包装容器。塑料包装容器必须符合国家食品安全卫生要求。包装容器在使用前应清洗干净，并吹干或晾干。包装场地应清洁卫生并远离污染源。灌装人员在操作前应洗手消毒，并穿戴洁净的工作衣帽。容器内应保留适当空隙，防止蜂蜜受热溢出。灌装后应立即盖好桶盖。</w:t>
      </w:r>
    </w:p>
    <w:p w14:paraId="30F59DC8">
      <w:pPr>
        <w:pStyle w:val="4"/>
        <w:spacing w:line="360" w:lineRule="auto"/>
        <w:ind w:firstLine="840" w:firstLineChars="35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（2）预包装：接触蜂蜜的包装容器和材料应符合国家食品安全卫生要求。包装应严密。应采取可靠的方式，使其他人员能够识别该容器在包装后是否曾被开启。</w:t>
      </w:r>
    </w:p>
    <w:p w14:paraId="5D407C69">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2、保存场所应清洁卫生，防高温，防风雨，避免日光直射，远离污染源。不得与有毒、有害、有腐蚀性、有异味、易挥发的物品同场所保存。</w:t>
      </w:r>
    </w:p>
    <w:p w14:paraId="19993B19">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3、运输工具应清洁卫生，不得与有毒、有害、有腐蚀性、有异味、易挥发的货物混装运输，防曝晒、防风雨。</w:t>
      </w:r>
    </w:p>
    <w:p w14:paraId="6E0340F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4、双方其他约定：</w:t>
      </w:r>
      <w:r>
        <w:rPr>
          <w:rFonts w:hint="eastAsia" w:ascii="微软雅黑" w:hAnsi="微软雅黑" w:eastAsia="微软雅黑" w:cs="微软雅黑"/>
          <w:b/>
          <w:color w:val="000000"/>
          <w:sz w:val="24"/>
          <w:szCs w:val="24"/>
          <w:u w:val="single"/>
        </w:rPr>
        <w:t> </w:t>
      </w:r>
      <w:r>
        <w:rPr>
          <w:rFonts w:hint="eastAsia" w:ascii="微软雅黑" w:hAnsi="微软雅黑" w:eastAsia="微软雅黑" w:cs="微软雅黑"/>
          <w:b/>
          <w:color w:val="000000"/>
          <w:sz w:val="24"/>
          <w:szCs w:val="24"/>
          <w:u w:val="single"/>
        </w:rPr>
        <w:t xml:space="preserve">                             </w:t>
      </w:r>
      <w:r>
        <w:rPr>
          <w:rFonts w:hint="eastAsia" w:ascii="微软雅黑" w:hAnsi="微软雅黑" w:eastAsia="微软雅黑" w:cs="微软雅黑"/>
          <w:b/>
          <w:color w:val="000000"/>
          <w:sz w:val="24"/>
          <w:szCs w:val="24"/>
          <w:u w:val="single"/>
        </w:rPr>
        <w:t>。</w:t>
      </w:r>
    </w:p>
    <w:p w14:paraId="0938CDD7">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甲方应为乙方提供相关的技术指导。</w:t>
      </w:r>
    </w:p>
    <w:p w14:paraId="313C3DD2">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第四条  交付和货款支付</w:t>
      </w:r>
    </w:p>
    <w:p w14:paraId="51FF6583">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、交付方式按下列第</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项办理：</w:t>
      </w:r>
    </w:p>
    <w:p w14:paraId="6C6039C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）实行送货的，乙方应送至</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21BEA934">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）实行提货的，甲方应到</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提货。</w:t>
      </w:r>
    </w:p>
    <w:p w14:paraId="632C050C">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、货款的支付按下列第</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项执行：</w:t>
      </w:r>
    </w:p>
    <w:p w14:paraId="4BD2B513">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）交付之日，即时结清。</w:t>
      </w:r>
    </w:p>
    <w:p w14:paraId="71AFC760">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）甲方应于每批蜂产品交付之日起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日内结清该批货款。</w:t>
      </w:r>
    </w:p>
    <w:p w14:paraId="793D1115">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）合同签订后，甲方支付乙方定金人民币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元（不得超过总价款的</w:t>
      </w:r>
      <w:r>
        <w:rPr>
          <w:rFonts w:hint="eastAsia" w:ascii="微软雅黑" w:hAnsi="微软雅黑" w:eastAsia="微软雅黑" w:cs="微软雅黑"/>
          <w:color w:val="000000"/>
          <w:sz w:val="24"/>
          <w:szCs w:val="24"/>
        </w:rPr>
        <w:t>20%</w:t>
      </w:r>
      <w:r>
        <w:rPr>
          <w:rFonts w:hint="eastAsia" w:ascii="微软雅黑" w:hAnsi="微软雅黑" w:eastAsia="微软雅黑" w:cs="微软雅黑"/>
          <w:color w:val="000000"/>
          <w:sz w:val="24"/>
          <w:szCs w:val="24"/>
        </w:rPr>
        <w:t>）；乙方交付该批蜂产品后，甲方应于每批蜂产品交付之日起</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日内结清该批货款，至最后一批货物交清时，定金抵作货款。</w:t>
      </w:r>
    </w:p>
    <w:p w14:paraId="2553F8D1">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第五条</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验收</w:t>
      </w:r>
    </w:p>
    <w:p w14:paraId="23487DBD">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甲方应于收货当日自行或者委托检测机构对蜂产品的质量进行检测，检验标准为</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，检验地点</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w:t>
      </w:r>
    </w:p>
    <w:p w14:paraId="114DE437">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第六条</w:t>
      </w:r>
      <w:r>
        <w:rPr>
          <w:rFonts w:hint="eastAsia" w:ascii="微软雅黑" w:hAnsi="微软雅黑" w:eastAsia="微软雅黑" w:cs="微软雅黑"/>
          <w:b/>
          <w:color w:val="000000"/>
          <w:sz w:val="24"/>
          <w:szCs w:val="24"/>
        </w:rPr>
        <w:t xml:space="preserve">  </w:t>
      </w:r>
      <w:r>
        <w:rPr>
          <w:rFonts w:hint="eastAsia" w:ascii="微软雅黑" w:hAnsi="微软雅黑" w:eastAsia="微软雅黑" w:cs="微软雅黑"/>
          <w:b/>
          <w:color w:val="000000"/>
          <w:sz w:val="24"/>
          <w:szCs w:val="24"/>
        </w:rPr>
        <w:t>合同的变更</w:t>
      </w:r>
    </w:p>
    <w:p w14:paraId="6BA474E1">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、交货时如市场价格高于或低于合同约定价格的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，双方可对蜂产品价格进行重新协商。</w:t>
      </w:r>
    </w:p>
    <w:p w14:paraId="172D4666">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、因气候发生重大变化或不可抗力等因素造成无法按合同约定的时间交货的，双方可另行协商。</w:t>
      </w:r>
    </w:p>
    <w:p w14:paraId="05A4E088">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第七条  违约责任</w:t>
      </w:r>
    </w:p>
    <w:p w14:paraId="01538D88">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、交付的蜂产品质量不符合合同约定的，乙方应在</w:t>
      </w:r>
      <w:r>
        <w:rPr>
          <w:rFonts w:hint="eastAsia" w:ascii="微软雅黑" w:hAnsi="微软雅黑" w:eastAsia="微软雅黑" w:cs="微软雅黑"/>
          <w:color w:val="000000"/>
          <w:sz w:val="24"/>
          <w:szCs w:val="24"/>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日内负责调换，无法按期调换的，应扣除不符合约定的蜂产品的相应价款，并按该价款的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向甲方支付违约金；交付蜂产品的数量低于合同约定的，应在</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天内负责补齐，无法在该期限补齐的，按欠交蜂产品价款的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向甲方支付违约金；交付的数量超出合同约定的，超出部分，甲方有权选择是否接收，甲方同意接收的，则按合同约定的单价计算。</w:t>
      </w:r>
    </w:p>
    <w:p w14:paraId="54D08957">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、乙方延迟交货的，每延迟一日，应支付甲方约定批次价款额万分之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的违约金；甲方逾期提货的，每延迟一日，应支付该批次价款额万分之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1668FD77">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w:t>
      </w:r>
      <w:r>
        <w:rPr>
          <w:rFonts w:hint="eastAsia" w:ascii="微软雅黑" w:hAnsi="微软雅黑" w:eastAsia="微软雅黑" w:cs="微软雅黑"/>
          <w:color w:val="000000"/>
          <w:sz w:val="24"/>
          <w:szCs w:val="24"/>
        </w:rPr>
        <w:t>、甲方不按约定收购蜂产品的，应向乙方支付该批蜂产品价值的</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w:t>
      </w:r>
      <w:r>
        <w:rPr>
          <w:rFonts w:hint="eastAsia" w:ascii="微软雅黑" w:hAnsi="微软雅黑" w:eastAsia="微软雅黑" w:cs="微软雅黑"/>
          <w:color w:val="000000"/>
          <w:sz w:val="24"/>
          <w:szCs w:val="24"/>
        </w:rPr>
        <w:t>的违约金，并赔偿乙方因此遭受的蜂产品变质等实际损失。</w:t>
      </w:r>
    </w:p>
    <w:p w14:paraId="18732E59">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w:t>
      </w:r>
      <w:r>
        <w:rPr>
          <w:rFonts w:hint="eastAsia" w:ascii="微软雅黑" w:hAnsi="微软雅黑" w:eastAsia="微软雅黑" w:cs="微软雅黑"/>
          <w:color w:val="000000"/>
          <w:sz w:val="24"/>
          <w:szCs w:val="24"/>
        </w:rPr>
        <w:t>、甲方逾期支付货款的，每延迟一日，应支付延迟货款额万分之</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u w:val="single"/>
        </w:rPr>
        <w:t> </w:t>
      </w:r>
      <w:r>
        <w:rPr>
          <w:rFonts w:hint="eastAsia" w:ascii="微软雅黑" w:hAnsi="微软雅黑" w:eastAsia="微软雅黑" w:cs="微软雅黑"/>
          <w:color w:val="000000"/>
          <w:sz w:val="24"/>
          <w:szCs w:val="24"/>
        </w:rPr>
        <w:t>的违约金。</w:t>
      </w:r>
    </w:p>
    <w:p w14:paraId="63704CEF">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w:t>
      </w:r>
      <w:r>
        <w:rPr>
          <w:rFonts w:hint="eastAsia" w:ascii="微软雅黑" w:hAnsi="微软雅黑" w:eastAsia="微软雅黑" w:cs="微软雅黑"/>
          <w:color w:val="000000"/>
          <w:sz w:val="24"/>
          <w:szCs w:val="24"/>
        </w:rPr>
        <w:t>、因包装物质量不符合要求造成的损失由包装物提供方承担。</w:t>
      </w:r>
    </w:p>
    <w:p w14:paraId="60394741">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第八条  合同争议的解决</w:t>
      </w:r>
    </w:p>
    <w:p w14:paraId="6A4C22D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第九条  送达地址以及送达条款</w:t>
      </w:r>
    </w:p>
    <w:p w14:paraId="0ADBF4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w:t>
      </w:r>
    </w:p>
    <w:p w14:paraId="2AD5D2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（二）送达方式</w:t>
      </w:r>
    </w:p>
    <w:p w14:paraId="037C78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47EE3482">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sz w:val="24"/>
          <w:szCs w:val="24"/>
          <w:lang w:val="en-US" w:eastAsia="zh-CN"/>
        </w:rPr>
        <w:t>4.因接收方过错造成无法正常送达的其他行为。</w:t>
      </w:r>
    </w:p>
    <w:p w14:paraId="2B8C3553">
      <w:pPr>
        <w:pStyle w:val="4"/>
        <w:numPr>
          <w:ilvl w:val="0"/>
          <w:numId w:val="0"/>
        </w:numPr>
        <w:spacing w:line="360" w:lineRule="auto"/>
        <w:ind w:firstLine="480" w:firstLineChars="200"/>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lang w:eastAsia="zh-CN"/>
        </w:rPr>
        <w:t>第十条</w:t>
      </w:r>
      <w:r>
        <w:rPr>
          <w:rFonts w:hint="eastAsia" w:ascii="微软雅黑" w:hAnsi="微软雅黑" w:eastAsia="微软雅黑" w:cs="微软雅黑"/>
          <w:b/>
          <w:bCs w:val="0"/>
          <w:color w:val="000000"/>
          <w:sz w:val="24"/>
          <w:szCs w:val="24"/>
          <w:lang w:val="en-US" w:eastAsia="zh-CN"/>
        </w:rPr>
        <w:t xml:space="preserve">  </w:t>
      </w:r>
      <w:r>
        <w:rPr>
          <w:rFonts w:hint="eastAsia" w:ascii="微软雅黑" w:hAnsi="微软雅黑" w:eastAsia="微软雅黑" w:cs="微软雅黑"/>
          <w:b/>
          <w:bCs w:val="0"/>
          <w:color w:val="000000"/>
          <w:sz w:val="24"/>
          <w:szCs w:val="24"/>
        </w:rPr>
        <w:t>附则</w:t>
      </w:r>
    </w:p>
    <w:p w14:paraId="6BC93C97">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w:t>
      </w:r>
      <w:r>
        <w:rPr>
          <w:rFonts w:hint="eastAsia" w:ascii="微软雅黑" w:hAnsi="微软雅黑" w:eastAsia="微软雅黑" w:cs="微软雅黑"/>
          <w:color w:val="000000"/>
          <w:sz w:val="24"/>
          <w:szCs w:val="24"/>
        </w:rPr>
        <w:t>、本协议一式二份，协议各方各执一份。各份协议文本具有同等法律效力。</w:t>
      </w:r>
    </w:p>
    <w:p w14:paraId="1918A58F">
      <w:pPr>
        <w:pStyle w:val="4"/>
        <w:spacing w:after="312" w:afterLines="100"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color w:val="000000"/>
          <w:sz w:val="24"/>
          <w:szCs w:val="24"/>
        </w:rPr>
        <w:t>2</w:t>
      </w:r>
      <w:r>
        <w:rPr>
          <w:rFonts w:hint="eastAsia" w:ascii="微软雅黑" w:hAnsi="微软雅黑" w:eastAsia="微软雅黑" w:cs="微软雅黑"/>
          <w:color w:val="000000"/>
          <w:sz w:val="24"/>
          <w:szCs w:val="24"/>
        </w:rPr>
        <w:t>、本协议经各方签署后生效。</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C0AE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6863AEEB">
            <w:pPr>
              <w:pStyle w:val="4"/>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甲方（盖章）：</w:t>
            </w:r>
          </w:p>
        </w:tc>
        <w:tc>
          <w:tcPr>
            <w:tcW w:w="4428" w:type="dxa"/>
          </w:tcPr>
          <w:p w14:paraId="55510BE3">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b/>
                <w:color w:val="000000"/>
                <w:sz w:val="24"/>
                <w:szCs w:val="24"/>
              </w:rPr>
              <w:t>乙方（盖章）：</w:t>
            </w:r>
          </w:p>
        </w:tc>
      </w:tr>
      <w:tr w14:paraId="282BF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772F6B55">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w:t>
            </w:r>
          </w:p>
        </w:tc>
        <w:tc>
          <w:tcPr>
            <w:tcW w:w="4428" w:type="dxa"/>
          </w:tcPr>
          <w:p w14:paraId="3719FF6A">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联系人：</w:t>
            </w:r>
          </w:p>
        </w:tc>
      </w:tr>
      <w:tr w14:paraId="57B97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1246071F">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c>
          <w:tcPr>
            <w:tcW w:w="4428" w:type="dxa"/>
          </w:tcPr>
          <w:p w14:paraId="1413D90B">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联系方式：</w:t>
            </w:r>
          </w:p>
        </w:tc>
      </w:tr>
      <w:tr w14:paraId="15BBA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4EEB6F0A">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p>
        </w:tc>
        <w:tc>
          <w:tcPr>
            <w:tcW w:w="4428" w:type="dxa"/>
          </w:tcPr>
          <w:p w14:paraId="29A4D522">
            <w:pPr>
              <w:pStyle w:val="4"/>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地址：</w:t>
            </w:r>
          </w:p>
        </w:tc>
      </w:tr>
      <w:tr w14:paraId="21743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28" w:type="dxa"/>
          </w:tcPr>
          <w:p w14:paraId="3E98E3D0">
            <w:pPr>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签署时间：</w:t>
            </w:r>
          </w:p>
        </w:tc>
        <w:tc>
          <w:tcPr>
            <w:tcW w:w="4428" w:type="dxa"/>
          </w:tcPr>
          <w:p w14:paraId="4D36B76A">
            <w:pPr>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签署时间：</w:t>
            </w:r>
          </w:p>
        </w:tc>
      </w:tr>
    </w:tbl>
    <w:p w14:paraId="50F46138">
      <w:pPr>
        <w:pStyle w:val="4"/>
        <w:spacing w:line="360" w:lineRule="auto"/>
        <w:ind w:firstLine="480" w:firstLineChars="200"/>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44"/>
    <w:rsid w:val="008B3444"/>
    <w:rsid w:val="105F25A7"/>
    <w:rsid w:val="17770B02"/>
    <w:rsid w:val="39147C97"/>
    <w:rsid w:val="41513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uiPriority w:val="99"/>
    <w:pPr>
      <w:widowControl/>
      <w:spacing w:before="90"/>
      <w:jc w:val="left"/>
    </w:pPr>
    <w:rPr>
      <w:rFonts w:ascii="Times New Roman" w:hAnsi="Times New Roman" w:cs="Times New Roman"/>
      <w:kern w:val="0"/>
      <w:sz w:val="24"/>
      <w:szCs w:val="20"/>
    </w:rPr>
  </w:style>
  <w:style w:type="table" w:styleId="6">
    <w:name w:val="Table Grid"/>
    <w:basedOn w:val="5"/>
    <w:qFormat/>
    <w:uiPriority w:val="5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character" w:customStyle="1" w:styleId="9">
    <w:name w:val="标题 2 字符"/>
    <w:basedOn w:val="7"/>
    <w:link w:val="2"/>
    <w:qFormat/>
    <w:uiPriority w:val="9"/>
    <w:rPr>
      <w:rFonts w:asciiTheme="majorHAnsi" w:hAnsiTheme="majorHAnsi" w:eastAsiaTheme="majorEastAsia" w:cstheme="majorBidi"/>
      <w:b/>
      <w:bCs/>
      <w:sz w:val="32"/>
      <w:szCs w:val="32"/>
    </w:rPr>
  </w:style>
  <w:style w:type="character" w:customStyle="1" w:styleId="10">
    <w:name w:val="标题 3 字符"/>
    <w:basedOn w:val="7"/>
    <w:link w:val="3"/>
    <w:qFormat/>
    <w:uiPriority w:val="9"/>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2589</Words>
  <Characters>2636</Characters>
  <Lines>16</Lines>
  <Paragraphs>4</Paragraphs>
  <TotalTime>1</TotalTime>
  <ScaleCrop>false</ScaleCrop>
  <LinksUpToDate>false</LinksUpToDate>
  <CharactersWithSpaces>3204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2019-03-04T07:33:00Z</dcterms:created>
  <dc:creator>雯 张</dc:creator>
  <cp:lastModifiedBy>豪</cp:lastModifiedBy>
  <dcterms:modified xsi:type="dcterms:W3CDTF">2026-03-22T06:54:44Z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E4ACA62E8DCF467D868EF6ACF113942C_12</vt:lpwstr>
  </property>
</Properties>
</file>