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6CEC8">
      <w:pPr>
        <w:jc w:val="center"/>
        <w:rPr>
          <w:rFonts w:hint="eastAsia" w:ascii="楷体" w:hAnsi="楷体" w:eastAsia="楷体"/>
          <w:color w:val="000000" w:themeColor="text1"/>
          <w:sz w:val="24"/>
          <w:szCs w:val="24"/>
          <w14:textFill>
            <w14:solidFill>
              <w14:schemeClr w14:val="tx1"/>
            </w14:solidFill>
          </w14:textFill>
        </w:rPr>
      </w:pPr>
    </w:p>
    <w:p w14:paraId="2A9152FA">
      <w:pPr>
        <w:jc w:val="center"/>
        <w:rPr>
          <w:rFonts w:hint="eastAsia" w:ascii="微软雅黑" w:hAnsi="微软雅黑" w:eastAsia="微软雅黑" w:cs="微软雅黑"/>
          <w:b/>
          <w:bCs w:val="0"/>
          <w:color w:val="000000" w:themeColor="text1"/>
          <w:spacing w:val="57"/>
          <w:sz w:val="36"/>
          <w:szCs w:val="36"/>
          <w14:textFill>
            <w14:solidFill>
              <w14:schemeClr w14:val="tx1"/>
            </w14:solidFill>
          </w14:textFill>
        </w:rPr>
      </w:pPr>
      <w:bookmarkStart w:id="0" w:name="_GoBack"/>
      <w:r>
        <w:rPr>
          <w:rFonts w:hint="eastAsia" w:ascii="微软雅黑" w:hAnsi="微软雅黑" w:eastAsia="微软雅黑" w:cs="微软雅黑"/>
          <w:b/>
          <w:bCs w:val="0"/>
          <w:color w:val="000000" w:themeColor="text1"/>
          <w:spacing w:val="57"/>
          <w:sz w:val="36"/>
          <w:szCs w:val="36"/>
          <w14:textFill>
            <w14:solidFill>
              <w14:schemeClr w14:val="tx1"/>
            </w14:solidFill>
          </w14:textFill>
        </w:rPr>
        <w:t>项目剩余住宅包销合同</w:t>
      </w:r>
    </w:p>
    <w:bookmarkEnd w:id="0"/>
    <w:p w14:paraId="7331BDB3">
      <w:pPr>
        <w:rPr>
          <w:rFonts w:hint="eastAsia" w:ascii="微软雅黑" w:hAnsi="微软雅黑" w:eastAsia="微软雅黑" w:cs="微软雅黑"/>
          <w:color w:val="000000" w:themeColor="text1"/>
          <w:sz w:val="24"/>
          <w:szCs w:val="24"/>
          <w14:textFill>
            <w14:solidFill>
              <w14:schemeClr w14:val="tx1"/>
            </w14:solidFill>
          </w14:textFill>
        </w:rPr>
      </w:pPr>
    </w:p>
    <w:p w14:paraId="53AE6318">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甲方（开发商）：</w:t>
      </w:r>
    </w:p>
    <w:p w14:paraId="76AF791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乙方（包销商）：</w:t>
      </w:r>
    </w:p>
    <w:p w14:paraId="535F8BBB">
      <w:pPr>
        <w:rPr>
          <w:rFonts w:hint="eastAsia" w:ascii="微软雅黑" w:hAnsi="微软雅黑" w:eastAsia="微软雅黑" w:cs="微软雅黑"/>
          <w:color w:val="000000" w:themeColor="text1"/>
          <w:sz w:val="24"/>
          <w:szCs w:val="24"/>
          <w14:textFill>
            <w14:solidFill>
              <w14:schemeClr w14:val="tx1"/>
            </w14:solidFill>
          </w14:textFill>
        </w:rPr>
      </w:pPr>
    </w:p>
    <w:p w14:paraId="18123BB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乙双方基于相互了解、相互信任、互利互惠的原则，经友好协商，针对甲方所开发的XX项目剩余住宅委托乙方包销合作事宜达成合作共识。根据《中华人民共和国民法典》及房地产管理相关法律、法规，在自愿、平等的基础上协商一致，签订本合同，并承诺共同遵守。</w:t>
      </w:r>
    </w:p>
    <w:p w14:paraId="68B03506">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第一条  包销项目及方式</w:t>
      </w:r>
    </w:p>
    <w:p w14:paraId="28EC42D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1．项目名称：</w:t>
      </w:r>
    </w:p>
    <w:p w14:paraId="57CC933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2．项目地点：</w:t>
      </w:r>
    </w:p>
    <w:p w14:paraId="4BA32A0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3．包销内容：数量暂定套，包销建筑面积暂定平方米（以下简称“标的房源”）。具体标的房源的套数、位置、房号、面积等以双方确认的《XX项目剩余住宅包销房价一览表》（详见附件一）为准。</w:t>
      </w:r>
    </w:p>
    <w:p w14:paraId="5075073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4．包销方式：甲方将XX项目剩余住宅委托给乙方进行独家销售，签订本合同后，甲方不再将上述房源委托第三方代理销售，也不再自行销售。</w:t>
      </w:r>
    </w:p>
    <w:p w14:paraId="121A1FA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0665B63">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第二条  标的房源销售价格</w:t>
      </w:r>
    </w:p>
    <w:p w14:paraId="623F780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1．本项目包销底价为：元/㎡，该价格为标的房源毛坯销售均价，以商品房销售合同确定的房价款计算，不含应由购房客户承担的维修基金、契税、印花税、办证费。</w:t>
      </w:r>
    </w:p>
    <w:p w14:paraId="1940AD7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除按照本项目向XX市住建局申报的“一房一价”备案价格销售外，乙方不得以低于包销底价对外销售标的房源。若乙方确需低于委托销售底价销售，需经甲方书面同意，但因此导致最终标的房源销售价格均价低于底价的，差额部分由乙方承担补足责任（应甲方要求销售给团购客户、关联客户的除外）。</w:t>
      </w:r>
    </w:p>
    <w:p w14:paraId="56BF601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在销售标的房源过程中，销售价格由乙方根据市场情况自行确定（但不得高于本项目向XX市住建局申报的“一房一价”备案价格，因国家或行业政策调整取消备案限价的除外），商品房购销合同中载明的销售价格要确保可以顺利完成网签网备，否则乙方无条件降低销售价格直至完成网签网备。</w:t>
      </w:r>
    </w:p>
    <w:p w14:paraId="73F04B0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在合同执行过程中，包销底价不因国家政策或法规、标准、市场因素以及建设规模变化等任何因素而调整。该报价包括完成招标文件及合同约定的全部工作内容所发生全部费用及税费，并综合考虑本项目各种风险因素和各项费用等全部费用，以及合同明示或暗示的所有责任、义务和一般风险，除非甲乙双方协商一致，方可调整。</w:t>
      </w:r>
    </w:p>
    <w:p w14:paraId="07A5332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D65E0AB">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第三条包销任务及阶段</w:t>
      </w:r>
    </w:p>
    <w:p w14:paraId="7C769F6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1．包销任务：按照包销底价与包销建筑面积计算，即：包销任务=包销底价×包销建筑面积=         元。完成销售回款是指：销售回款包含客户支付的所有现金和银行按揭款，客户签订《商品房买卖合同》并完成网签备案、结清全额房款或支付足额首付且银行放款到账，该《商品房买卖合同》项下的购房款全额计入销售回款。</w:t>
      </w:r>
    </w:p>
    <w:p w14:paraId="6E108DA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2．第一阶段</w:t>
      </w:r>
    </w:p>
    <w:p w14:paraId="755A3E5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（1）第一个周期：乙方在合同签订后60日历天内完成的销售回款达到包销任务的30%，即           元。若乙方未按时完成该包销任务的，未完成部分乙方须在该周期期限届满之日起 15日历天内补齐该周期包销任务差额后继续销售，乙方补齐差额之日视为第一个周期包销任务完成。以15日历天为一个周期进行销售回款结算，若在该周期内有购房客户结清全额房款或支付足额首付且银行放款到账的，则甲方向乙方无息退还补齐该套房源的差额房款，并按套支付该套房源的全额包销佣金给乙方。 </w:t>
      </w:r>
    </w:p>
    <w:p w14:paraId="1AB61AA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第一个周期包销任务差额=包销任务（包销底价×包销总建筑面积）×30%-截止第一个周期到期时已销售房源回款。</w:t>
      </w:r>
    </w:p>
    <w:p w14:paraId="1078D16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第二个周期：乙方须在第一阶段第一个周期包销任务完成后70日历天内（即：合同签订后130日历天内（不含第一阶段第一个周期补齐差额房款的15日历天）销售回款达到包销任务的100%。若乙方未按时完成该包销任务的，则以包销保证金抵扣未完成任务差额，如有不足，不足部分乙方须在第二个周期期限届满之日起15日历天内补足。乙方补齐差额之日视为第二个周期即第一阶段包销任务完成。</w:t>
      </w:r>
    </w:p>
    <w:p w14:paraId="2BF773D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第二个周期任务差额=包销任务（包销底价×包销总建筑面积）-第二个周期到期时已销售房源回款。</w:t>
      </w:r>
    </w:p>
    <w:p w14:paraId="006023D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3）第二阶段：乙方完成第一阶段包销任务后，有剩余房源未销售的，乙方可继续销售剩余未售房源，第二阶段销售时间为第一阶段销售任务完成之日起180日历天，若在第二阶段销售时间到期时仍然存在未售房屋，甲方将与乙方签订《商品房买卖合同》，直接将剩余房源登记备案至乙方名下。 </w:t>
      </w:r>
    </w:p>
    <w:p w14:paraId="53C4577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6A06D5D">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第四条  包销佣金及支付方式</w:t>
      </w:r>
    </w:p>
    <w:p w14:paraId="34AE249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包销房源最终实际成交整体均价超过包销底价的溢价部分即为乙方包销佣金。包销佣金计算方式：包销房源最终实际成交整体均价未超过备案价格的，溢价部分全部作为乙方包销佣金；如果在合作期间，因国家或行业政策调整，取消备案限价，包销房源最终实际成交整体均价超过本项目备案均价的，未超过备案价格的溢价部分全部作为乙方包销佣金，超过备案价格的溢价部分的%作为乙方包销佣金。</w:t>
      </w:r>
    </w:p>
    <w:p w14:paraId="45D388D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未超过备案价格时的包销佣金=(实际销售均价-包销底价)×实际销售建筑面积</w:t>
      </w:r>
    </w:p>
    <w:p w14:paraId="3BA33E1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超过备案价格时的包销佣金=(备案均价-包销底价)×实际销售建筑面积+(实际销售均价-备案均价)×实际销售建筑面积×    %</w:t>
      </w:r>
    </w:p>
    <w:p w14:paraId="6828F34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2．包销佣金的支付：</w:t>
      </w:r>
    </w:p>
    <w:p w14:paraId="410545B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ab/>
      </w:r>
      <w:r>
        <w:rPr>
          <w:rFonts w:hint="eastAsia" w:ascii="微软雅黑" w:hAnsi="微软雅黑" w:eastAsia="微软雅黑" w:cs="微软雅黑"/>
          <w:color w:val="000000" w:themeColor="text1"/>
          <w:sz w:val="24"/>
          <w:szCs w:val="24"/>
          <w14:textFill>
            <w14:solidFill>
              <w14:schemeClr w14:val="tx1"/>
            </w14:solidFill>
          </w14:textFill>
        </w:rPr>
        <w:t>乙方按时完成第一阶段第一个周期销售回款任务的，甲方在乙方完成该销售回款任务之日起15个日历天内，向乙方全额结付该周期内的包销佣金。</w:t>
      </w:r>
    </w:p>
    <w:p w14:paraId="1E9E55F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ab/>
      </w:r>
      <w:r>
        <w:rPr>
          <w:rFonts w:hint="eastAsia" w:ascii="微软雅黑" w:hAnsi="微软雅黑" w:eastAsia="微软雅黑" w:cs="微软雅黑"/>
          <w:color w:val="000000" w:themeColor="text1"/>
          <w:sz w:val="24"/>
          <w:szCs w:val="24"/>
          <w14:textFill>
            <w14:solidFill>
              <w14:schemeClr w14:val="tx1"/>
            </w14:solidFill>
          </w14:textFill>
        </w:rPr>
        <w:t>乙方按时完成第一阶段第二个周期销售回款任务的，甲方在乙方完成该销售回款任务之日起15个日历天内，向乙方全额结付该周期内的包销佣金以及第一阶段全部应结未结的包销佣金。</w:t>
      </w:r>
    </w:p>
    <w:p w14:paraId="0998D8E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ab/>
      </w:r>
      <w:r>
        <w:rPr>
          <w:rFonts w:hint="eastAsia" w:ascii="微软雅黑" w:hAnsi="微软雅黑" w:eastAsia="微软雅黑" w:cs="微软雅黑"/>
          <w:color w:val="000000" w:themeColor="text1"/>
          <w:sz w:val="24"/>
          <w:szCs w:val="24"/>
          <w14:textFill>
            <w14:solidFill>
              <w14:schemeClr w14:val="tx1"/>
            </w14:solidFill>
          </w14:textFill>
        </w:rPr>
        <w:t>第一阶段两个包销周期以乙方补足任务差额方式完成的，与任务差额相对应的房源乙方可在下个周期继续销售，此部分房源在客户签订《商品房买卖合同》并完成网签备案、结清全额房款或支付足额首付且银行放款到账时即结算包销佣金，此部分房源的包销佣金每15日历天集中结算支付一次，不再参与周期结束时的佣金结算。</w:t>
      </w:r>
    </w:p>
    <w:p w14:paraId="536EF4B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sz w:val="24"/>
          <w:szCs w:val="24"/>
          <w14:textFill>
            <w14:solidFill>
              <w14:schemeClr w14:val="tx1"/>
            </w14:solidFill>
          </w14:textFill>
        </w:rPr>
        <w:tab/>
      </w:r>
      <w:r>
        <w:rPr>
          <w:rFonts w:hint="eastAsia" w:ascii="微软雅黑" w:hAnsi="微软雅黑" w:eastAsia="微软雅黑" w:cs="微软雅黑"/>
          <w:color w:val="000000" w:themeColor="text1"/>
          <w:sz w:val="24"/>
          <w:szCs w:val="24"/>
          <w14:textFill>
            <w14:solidFill>
              <w14:schemeClr w14:val="tx1"/>
            </w14:solidFill>
          </w14:textFill>
        </w:rPr>
        <w:t xml:space="preserve">第一阶段包销任务完成后，第二阶段内剩余房源的全部销售回款均为乙方包销佣金，在客户签订《商品房买卖合同》并完成网签备案、结清全额房款或支付足额首付且银行放款到账之日起15日内甲方全额支付给乙方。 </w:t>
      </w:r>
    </w:p>
    <w:p w14:paraId="7DBA8B6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3．二级销售代理佣金：在包销期内，乙方在不超过标的房源实际销售回款总额0.7%的范围内承担二级销售代理商销售代理佣金。二级销售代理商不超过   家，由甲方委托并签署销售代理合同。乙方对二级销售代理商销售任务核实确认后，甲方支付乙方包销佣金的同时，从乙方的包销佣金中代扣该部分二级销售代理佣金支付给二级销售代理商。甲方须要求二级销售代理方接受乙方的管理和考核，遵守乙方销售方式。如果二级销售代理商不能完成销售代理任务的，乙方有权提请甲方扣减二级销售代理商销售代理佣金。</w:t>
      </w:r>
    </w:p>
    <w:p w14:paraId="195B922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4．乙方用于广告网络媒体、营销暖场活动、营销推广广告等产生的推广费用，由乙方自行承担。</w:t>
      </w:r>
    </w:p>
    <w:p w14:paraId="2B52F35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443B774">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第五条 包销保证金</w:t>
      </w:r>
    </w:p>
    <w:p w14:paraId="082CE23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1、包销保证金的递交：中标人须于中标公示期结束后7个工作日内提交300万元至甲方指定账户上，中标人未在规定时间内递交包销保证金，视为自愿放弃中标，甲方可与下一中标候选人签订包销合同。</w:t>
      </w:r>
    </w:p>
    <w:p w14:paraId="369E065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包销保证金的退还：乙方按时或提前完成第一阶段包销任务的，甲方在乙方完成该销售回款任务之日起15个日历天内一次性无息返还；若未完成包销任务的，则以包销保证金抵扣未完成的任务差额，抵扣后如有剩余，剩余部分甲方在第一阶段包销任务完成之日起15个日历天内一次性无息退还给乙方。</w:t>
      </w:r>
    </w:p>
    <w:p w14:paraId="0EDFB42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93DFA65">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第六条 销售工作内容</w:t>
      </w:r>
    </w:p>
    <w:p w14:paraId="1A0D4AA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1、销售接待</w:t>
      </w:r>
    </w:p>
    <w:p w14:paraId="2E8BDE3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(1)乙方提供专业的现场购房客户接待服务。</w:t>
      </w:r>
    </w:p>
    <w:p w14:paraId="79888F7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（2）在甲方委托范围内协助甲方与购房客户签署《预约认购协议》、《商品房买卖合同》及其附件、其他与销售相关的签约文件、完成签约备案、协助办理按揭贷款等购房客户在购房过程中的相关事宜。</w:t>
      </w:r>
    </w:p>
    <w:p w14:paraId="02EA504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（3）购房客户资料提交：按照甲方要求，定期向甲方提交购房客户资料，并按时录入甲方的房屋销售系统，甲方有权不定期抽查。</w:t>
      </w:r>
    </w:p>
    <w:p w14:paraId="5EC7282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2、商品房购销合同</w:t>
      </w:r>
    </w:p>
    <w:p w14:paraId="6183AE0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（1）本项目所签订的《商品房买卖合同》及其附件（以下简称购销合同）由甲方提供，购销合同条款内容（包括附加条款）由甲方提供范本。</w:t>
      </w:r>
    </w:p>
    <w:p w14:paraId="6DEE057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（2）乙方负责在购销合同范本所承诺的范围内，协助甲方与客户签订本项目房屋购销合同。</w:t>
      </w:r>
    </w:p>
    <w:p w14:paraId="2E4FCDC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购房客户签订的购销合同文本须经审核且签章后生效并备案。购销合同文本由甲方统一管理，乙方在与购房客户签约时向甲方如数领取，签约并完成备案后的合同按甲方现场约定时间交予甲方管理（含作废合同）。</w:t>
      </w:r>
    </w:p>
    <w:p w14:paraId="048CFAA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3、退房处理</w:t>
      </w:r>
    </w:p>
    <w:p w14:paraId="0ED2ED9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（1）若购房客户在签订预约认购协议后要求退房，须由甲方决定是否没收购房客户定金，如没收定金，则定金归甲方所有，此定金计入乙方销售回款额。</w:t>
      </w:r>
    </w:p>
    <w:p w14:paraId="797DB64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（2）若购房客户在签订商品房购销合同后要求退房，甲方按商品房购销合同规定向购房客户收取违约金的，违约金归甲方所有。此违约金不计入乙方销售回款额。</w:t>
      </w:r>
    </w:p>
    <w:p w14:paraId="5A52B71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C95C541">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第七条  资金管理</w:t>
      </w:r>
    </w:p>
    <w:p w14:paraId="79D71D2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1、标的房源的销售回款，均归集于甲方指定账户。</w:t>
      </w:r>
    </w:p>
    <w:p w14:paraId="19D0B41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2、标的房源销售过程产生的按照法律规定由出卖人承担的税费由甲方承担。乙方结算包销溢价款时应当向甲方出具等额的服务费发票。</w:t>
      </w:r>
    </w:p>
    <w:p w14:paraId="74517DC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18593EA">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第八条  甲、乙双方权利与义务</w:t>
      </w:r>
    </w:p>
    <w:p w14:paraId="12FF814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1、甲方权利与义务</w:t>
      </w:r>
    </w:p>
    <w:p w14:paraId="3EB3872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（1）甲方负责保证该项目的开发、建设和销售的合法性，申办有关销售之法律规定批文和手续，并以法律或法规认可之程序进行销售认购，保证合同期内项目持续处于可合法公开销售的状态。</w:t>
      </w:r>
    </w:p>
    <w:p w14:paraId="7F75D33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（2）甲方及时提供乙方所需的各类资料及政府批文，并确保所提供资料的真实性、合法性、准确性和完整性。</w:t>
      </w:r>
    </w:p>
    <w:p w14:paraId="74E7388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甲方应配合乙方的委托销售工作，包括与购房客户签订认购书、购销合同签订过程的监控、提供按揭贷款银行名称、贷款额度及贷款年限、负责跟进贷款购房客户银行按揭放款、提供营销中心、明确物业管理公司及物管费等工作。</w:t>
      </w:r>
    </w:p>
    <w:p w14:paraId="4A1D6D5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（4）甲方按本协议约定的时间、方式、比例向乙方支付包销溢价款和退还包销保证金等款项。</w:t>
      </w:r>
    </w:p>
    <w:p w14:paraId="024DE5E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2、乙方权利与义务</w:t>
      </w:r>
    </w:p>
    <w:p w14:paraId="304F0AE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（1）乙方有责任为甲方保守相关的商业机密，如：项目成本、购房客户资料、营销方案等。</w:t>
      </w:r>
    </w:p>
    <w:p w14:paraId="6881B4E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需按照有关法律规定和本合同约定为甲方提供代理服务，并负责标的房源的全程营销推广（相关费用由乙方承担），对甲方所委托事项按时、保质、准确完成。乙方在销售标的房源过程中，不得超越委托事项而对购房客户进行与项目不符的额外承诺，否则经双方核实确认确有发生的，甲方除有权终止本协议外，一切后果及责任均由乙方承担。</w:t>
      </w:r>
    </w:p>
    <w:p w14:paraId="6B5251A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（3）乙方有权按本合同约定收取包销溢价款。</w:t>
      </w:r>
    </w:p>
    <w:p w14:paraId="562701F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（4）乙方享有在该项目的宣传媒体及资料上按甲方许可的形式印上乙方公司名称的权利。</w:t>
      </w:r>
    </w:p>
    <w:p w14:paraId="796C868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（5）乙方在标的房源销售过程中，需严格遵守国家相关法律、法规，如销售行为违反相关规定而给甲方造成影响和损失的，甲方有权终止协议，并追究乙方因此而造成的损失。</w:t>
      </w:r>
    </w:p>
    <w:p w14:paraId="1D1FA18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（6）本合同合作期限届满，乙方可在案场处理购房客户购买后续事宜及剩余房源销售事宜，甲方应给予配合。</w:t>
      </w:r>
    </w:p>
    <w:p w14:paraId="6DEF0F4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3A92718">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第九条  违约责任</w:t>
      </w:r>
    </w:p>
    <w:p w14:paraId="7CEE63A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1、若乙方未在合同约定的时间内完成包销任务，且未按期补足任务差额，合同即行终止，且甲方直接没收乙方缴纳的包销保证金作为违约金，且不进行已售房源的包销溢价款的结算、支付工作。</w:t>
      </w:r>
    </w:p>
    <w:p w14:paraId="2D6FA51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2、若乙方在合同履行期间，违法、违规销售行为导致甲方与其他第三人的纠纷、赔偿和法律责任，给甲方造成损失的，甲方有权从乙方缴纳的包销保证金中扣除，不足扣除的，甲方有权向乙方追偿。</w:t>
      </w:r>
    </w:p>
    <w:p w14:paraId="32453A8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及乙方从业人员不得借任何名义向购房客户收取除房款以外的任何费用（含但不限于：中介费、渠道费、服务费现金或礼品、礼金、各种有价证券、信用卡及其他支付凭证），经双方核实确认每发现1例，甲方有权向乙方处以10万元/次的罚款，且乙方须无条件向购房客户退还收受的所有费用，若乙方拒不退还或缴纳罚款的，甲方有权直接从乙方缴纳的履约或实现的包销溢价款中扣除。</w:t>
      </w:r>
    </w:p>
    <w:p w14:paraId="37D0B9E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4、甲方未按合同约定向乙方支付包销佣金或退还履约担保的，每逾期一日按照拖欠金额的万分之五支付滞纳金。拖欠超过   日的，乙方可停止本合同项下的工作，撤出项目现场，并享有对所欠款项继续追索的权利。</w:t>
      </w:r>
    </w:p>
    <w:p w14:paraId="218A73B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965769D">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第十条  合作关系终止</w:t>
      </w:r>
    </w:p>
    <w:p w14:paraId="2F1C09A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1、甲乙双方的合作期限届满后合作关系终止的，因双方合作而产生的附随的权利义务，双方仍应遵循诚实信用的原则继续履行，以保证各方的合法权益。</w:t>
      </w:r>
    </w:p>
    <w:p w14:paraId="58CB049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2、乙方必须在合作关系终止之日起5日内归还与本次合作相关的全部资料，并全面撤出甲方的工作场地。</w:t>
      </w:r>
    </w:p>
    <w:p w14:paraId="65C715B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3、一方依据本合同约定或法律规定行使合同解除权利的，则本合同在被解约方收到解约方发出的解除合同的书面通知后立即解除。</w:t>
      </w:r>
    </w:p>
    <w:p w14:paraId="1C71CBA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309B02E">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第十一条  保密条款</w:t>
      </w:r>
    </w:p>
    <w:p w14:paraId="403C804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乙双方在本合同订立前、履行中、终止后，任何一方知悉的另一方的信息包括但不限于本合同和各方相互提供的资料、商业秘密、技术资料、图纸、数据、以及与业务有关的客户的信息及其他信息等负有保密义务，未经合同另一方书面同意，不得向任何人披露上述信息，否则，需赔偿对方因此造成的全部损失，但正常履行本合同项下义务的除外。</w:t>
      </w:r>
    </w:p>
    <w:p w14:paraId="1ABDC79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030618D">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第十二条  免责条款</w:t>
      </w:r>
    </w:p>
    <w:p w14:paraId="15A37496">
      <w:pPr>
        <w:autoSpaceDE w:val="0"/>
        <w:autoSpaceDN w:val="0"/>
        <w:spacing w:line="360" w:lineRule="auto"/>
        <w:ind w:firstLine="480" w:firstLineChars="200"/>
        <w:jc w:val="lef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28F203C3">
      <w:pPr>
        <w:autoSpaceDE w:val="0"/>
        <w:autoSpaceDN w:val="0"/>
        <w:spacing w:line="360" w:lineRule="auto"/>
        <w:ind w:firstLine="480" w:firstLineChars="200"/>
        <w:jc w:val="left"/>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2．当出现双方在订立合同时无法预见的、不属于商业风险的重大变化，双方不能协商变更合同导致合同解除的，双方互不承担违约责任。</w:t>
      </w:r>
    </w:p>
    <w:p w14:paraId="11B82054">
      <w:pPr>
        <w:autoSpaceDE w:val="0"/>
        <w:autoSpaceDN w:val="0"/>
        <w:spacing w:line="360" w:lineRule="auto"/>
        <w:ind w:firstLine="480" w:firstLineChars="200"/>
        <w:jc w:val="left"/>
        <w:rPr>
          <w:rFonts w:hint="eastAsia" w:ascii="微软雅黑" w:hAnsi="微软雅黑" w:eastAsia="微软雅黑" w:cs="微软雅黑"/>
          <w:color w:val="000000" w:themeColor="text1"/>
          <w:sz w:val="24"/>
          <w:szCs w:val="24"/>
          <w:lang w:eastAsia="zh-Hans"/>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3．因治安管理案件或刑事犯罪案件，包括但不限于故意伤害、爆炸、偷盗、抢劫等导致人身伤害或财产损失的，由行为人承担责任。 </w:t>
      </w:r>
    </w:p>
    <w:p w14:paraId="0A066A9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8A170F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9A21B22">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第十三条  送达地址以及送达条款</w:t>
      </w:r>
    </w:p>
    <w:p w14:paraId="5AF7EE99">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一、送达地址以及方式</w:t>
      </w:r>
    </w:p>
    <w:p w14:paraId="7489382C">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（一）送达地址</w:t>
      </w:r>
    </w:p>
    <w:p w14:paraId="4F3CF2F5">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1.甲方确认送达地址如下：</w:t>
      </w:r>
    </w:p>
    <w:p w14:paraId="70418E52">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地址：    省    市    区/县    路    号，</w:t>
      </w:r>
    </w:p>
    <w:p w14:paraId="1DFDE085">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邮编：            ，</w:t>
      </w:r>
    </w:p>
    <w:p w14:paraId="2F9B0431">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联系人：      ，</w:t>
      </w:r>
    </w:p>
    <w:p w14:paraId="68FC9647">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联系电话：      -            。</w:t>
      </w:r>
    </w:p>
    <w:p w14:paraId="3D1E10C3">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甲方电子送达方式如下：</w:t>
      </w:r>
    </w:p>
    <w:p w14:paraId="4575E30E">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 xml:space="preserve">手机短信：                  </w:t>
      </w:r>
    </w:p>
    <w:p w14:paraId="56945E3C">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 xml:space="preserve">传真：      -            </w:t>
      </w:r>
    </w:p>
    <w:p w14:paraId="14F00EF3">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 xml:space="preserve">即时通讯账号（微信号）：                  </w:t>
      </w:r>
    </w:p>
    <w:p w14:paraId="587A2A03">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电子邮箱：            。</w:t>
      </w:r>
    </w:p>
    <w:p w14:paraId="61AA9599">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p>
    <w:p w14:paraId="6839E69F">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2.乙方确认送达地址如下：</w:t>
      </w:r>
    </w:p>
    <w:p w14:paraId="10514C03">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地址：    省    市    区/县    路    号，</w:t>
      </w:r>
    </w:p>
    <w:p w14:paraId="19DDD84C">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邮编：            ，</w:t>
      </w:r>
    </w:p>
    <w:p w14:paraId="6EBFA0D7">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联系人：      ，</w:t>
      </w:r>
    </w:p>
    <w:p w14:paraId="488A5203">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联系电话：      -            。</w:t>
      </w:r>
    </w:p>
    <w:p w14:paraId="7D792B4E">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乙方电子送达方式如下：</w:t>
      </w:r>
    </w:p>
    <w:p w14:paraId="2C7F56F5">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 xml:space="preserve">手机短信：                  </w:t>
      </w:r>
    </w:p>
    <w:p w14:paraId="2C37C627">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 xml:space="preserve">传真：      -            </w:t>
      </w:r>
    </w:p>
    <w:p w14:paraId="72B99524">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 xml:space="preserve">即时通讯账号（微信号）：                  </w:t>
      </w:r>
    </w:p>
    <w:p w14:paraId="549B7126">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电子邮箱：</w:t>
      </w:r>
    </w:p>
    <w:p w14:paraId="6A50AE5F">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（二）送达方式</w:t>
      </w:r>
    </w:p>
    <w:p w14:paraId="343E5E1C">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 xml:space="preserve"> 双方同意，本合同项下的通知、函件、诉讼文书等文件，以下列方式送达对方：</w:t>
      </w:r>
    </w:p>
    <w:p w14:paraId="57AD2BB7">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1.直接送达：将文件送至对方指定的送达地址，视为已送达；</w:t>
      </w:r>
    </w:p>
    <w:p w14:paraId="2972F9A0">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2.邮寄送达：将文件通过挂号信、特快专递等方式寄至对方指定的送达地址，以邮戳日期为准，视为已送达；</w:t>
      </w:r>
    </w:p>
    <w:p w14:paraId="3ADF496A">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3.电子送达：将文件通过电子邮件、短信、微信等方式发送至对方指定的电子邮箱、手机号码等，发送成功即视为已送达。</w:t>
      </w:r>
    </w:p>
    <w:p w14:paraId="23103CA1">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二、送达条款</w:t>
      </w:r>
    </w:p>
    <w:p w14:paraId="40F2AD27">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（一）本送达条款适用于合同履行履行期间及合同纠纷解决过程中的所有文件送达。</w:t>
      </w:r>
    </w:p>
    <w:p w14:paraId="38E981A4">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11F4D90">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（三）双方在合同履行过程中由双方共同明示或默示确认的合同约定外的送达地址和联系方式不影响送达效力。</w:t>
      </w:r>
    </w:p>
    <w:p w14:paraId="58EF771C">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75B9594A">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62A37034">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bCs/>
          <w:color w:val="000000" w:themeColor="text1"/>
          <w:sz w:val="24"/>
          <w:szCs w:val="24"/>
          <w:lang w:eastAsia="zh-CN"/>
          <w14:textFill>
            <w14:solidFill>
              <w14:schemeClr w14:val="tx1"/>
            </w14:solidFill>
          </w14:textFill>
        </w:rPr>
        <w:t>蚌埠</w:t>
      </w:r>
      <w:r>
        <w:rPr>
          <w:rFonts w:hint="eastAsia" w:ascii="微软雅黑" w:hAnsi="微软雅黑" w:eastAsia="微软雅黑" w:cs="微软雅黑"/>
          <w:bCs/>
          <w:color w:val="000000" w:themeColor="text1"/>
          <w:sz w:val="24"/>
          <w:szCs w:val="24"/>
          <w14:textFill>
            <w14:solidFill>
              <w14:schemeClr w14:val="tx1"/>
            </w14:solidFill>
          </w14:textFill>
        </w:rPr>
        <w:t>仲裁委员会有权依据法律和适时有效的仲裁规则规定进行送达，法律与仲裁规则规定程序完成之日，视为送达成功：</w:t>
      </w:r>
    </w:p>
    <w:p w14:paraId="331472B4">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1.擅自变更送达地址及信息且未及时通知对方的；</w:t>
      </w:r>
    </w:p>
    <w:p w14:paraId="328127E0">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2.送达地址与信息同工商登记信息不一致且未及时更改的；</w:t>
      </w:r>
    </w:p>
    <w:p w14:paraId="1FE396F7">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3.故意不接收</w:t>
      </w:r>
      <w:r>
        <w:rPr>
          <w:rFonts w:hint="eastAsia" w:ascii="微软雅黑" w:hAnsi="微软雅黑" w:eastAsia="微软雅黑" w:cs="微软雅黑"/>
          <w:bCs/>
          <w:color w:val="000000" w:themeColor="text1"/>
          <w:sz w:val="24"/>
          <w:szCs w:val="24"/>
          <w:lang w:eastAsia="zh-CN"/>
          <w14:textFill>
            <w14:solidFill>
              <w14:schemeClr w14:val="tx1"/>
            </w14:solidFill>
          </w14:textFill>
        </w:rPr>
        <w:t>蚌埠</w:t>
      </w:r>
      <w:r>
        <w:rPr>
          <w:rFonts w:hint="eastAsia" w:ascii="微软雅黑" w:hAnsi="微软雅黑" w:eastAsia="微软雅黑" w:cs="微软雅黑"/>
          <w:bCs/>
          <w:color w:val="000000" w:themeColor="text1"/>
          <w:sz w:val="24"/>
          <w:szCs w:val="24"/>
          <w14:textFill>
            <w14:solidFill>
              <w14:schemeClr w14:val="tx1"/>
            </w14:solidFill>
          </w14:textFill>
        </w:rPr>
        <w:t>仲裁委员会送达文书的；</w:t>
      </w:r>
    </w:p>
    <w:p w14:paraId="43D92C67">
      <w:pPr>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4.因接收方过错造成无法正常送达的其他行为。</w:t>
      </w:r>
    </w:p>
    <w:p w14:paraId="222ED88A">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第十四条  争议解决</w:t>
      </w:r>
    </w:p>
    <w:p w14:paraId="097EED5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仲裁委员会，按照其届时有效的仲裁规则仲裁解决。仲裁裁决是终局的，对双方均有约束力。</w:t>
      </w:r>
    </w:p>
    <w:p w14:paraId="13CAD01D">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第十五条  特别约定</w:t>
      </w:r>
    </w:p>
    <w:p w14:paraId="5518E6C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p>
    <w:p w14:paraId="151F8A0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p>
    <w:p w14:paraId="4282879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w:t>
      </w:r>
    </w:p>
    <w:p w14:paraId="2FB37E97">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4D1F4E5B">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第十六条 其他约定</w:t>
      </w:r>
    </w:p>
    <w:p w14:paraId="11D8D23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1、本合同约定要提交的附件应及时提交确认，该附件及合同履行过程中的函件、会议纪要、通知经双方确认后成为本合同的组成部分。</w:t>
      </w:r>
    </w:p>
    <w:p w14:paraId="6A47AF8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2、合同未尽事宜以及对本合同的任何变更均应在双方协商同意后签订补充协议，补充协议在双方签字盖章后生效，与本合同具有同等法律效力。</w:t>
      </w:r>
    </w:p>
    <w:p w14:paraId="2AFEB09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3、及附件一式壹拾份，经甲乙双方盖章后生效，甲方执捌份、乙方执贰份，具同等法律效力。</w:t>
      </w:r>
    </w:p>
    <w:p w14:paraId="78339A0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4、项下的货币币种均指人民币。</w:t>
      </w:r>
    </w:p>
    <w:p w14:paraId="6728FE5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合同附件：</w:t>
      </w:r>
    </w:p>
    <w:p w14:paraId="555F0AF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附件一：《XX项目剩余住宅包销房价一览表》</w:t>
      </w:r>
    </w:p>
    <w:p w14:paraId="79DB054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附件二：廉政承诺书</w:t>
      </w:r>
    </w:p>
    <w:p w14:paraId="31D0294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（以下无正文，为签署页）</w:t>
      </w:r>
    </w:p>
    <w:p w14:paraId="12C970E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37CA0B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3BA8F98">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甲方：(盖章)</w:t>
      </w:r>
    </w:p>
    <w:p w14:paraId="7F09E992">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法定代表人：</w:t>
      </w:r>
    </w:p>
    <w:p w14:paraId="75D11327">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委托代理人：</w:t>
      </w:r>
    </w:p>
    <w:p w14:paraId="0A88339C">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490F8AAA">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 (盖章)</w:t>
      </w:r>
    </w:p>
    <w:p w14:paraId="63F466BE">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法定代表人：</w:t>
      </w:r>
    </w:p>
    <w:p w14:paraId="437745D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委托代理人：</w:t>
      </w:r>
    </w:p>
    <w:p w14:paraId="7C4A997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1588EF3">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签订日期： 年 月 日</w:t>
      </w:r>
    </w:p>
    <w:p w14:paraId="3B87D9E2">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签订地点：</w:t>
      </w:r>
    </w:p>
    <w:p w14:paraId="73864C2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FEBD7D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C2F8C23">
      <w:pPr>
        <w:rPr>
          <w:rFonts w:hint="eastAsia" w:ascii="微软雅黑" w:hAnsi="微软雅黑" w:eastAsia="微软雅黑" w:cs="微软雅黑"/>
          <w:color w:val="000000" w:themeColor="text1"/>
          <w:sz w:val="24"/>
          <w:szCs w:val="24"/>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91110"/>
    </w:sdtPr>
    <w:sdtContent>
      <w:sdt>
        <w:sdtPr>
          <w:id w:val="171357217"/>
        </w:sdtPr>
        <w:sdtContent>
          <w:p w14:paraId="3E73DFDE">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w:t>
            </w:r>
            <w:r>
              <w:rPr>
                <w:b/>
                <w:sz w:val="24"/>
                <w:szCs w:val="24"/>
              </w:rPr>
              <w:fldChar w:fldCharType="end"/>
            </w:r>
          </w:p>
        </w:sdtContent>
      </w:sdt>
    </w:sdtContent>
  </w:sdt>
  <w:p w14:paraId="4D02431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D46D8C"/>
    <w:rsid w:val="00063192"/>
    <w:rsid w:val="009E3210"/>
    <w:rsid w:val="00B606EC"/>
    <w:rsid w:val="08B245F2"/>
    <w:rsid w:val="3CD6750A"/>
    <w:rsid w:val="71032BEA"/>
    <w:rsid w:val="71D46D8C"/>
    <w:rsid w:val="72511A16"/>
    <w:rsid w:val="7FA26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6406</Words>
  <Characters>6464</Characters>
  <Lines>49</Lines>
  <Paragraphs>13</Paragraphs>
  <TotalTime>27</TotalTime>
  <ScaleCrop>false</ScaleCrop>
  <LinksUpToDate>false</LinksUpToDate>
  <CharactersWithSpaces>6770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2021-05-26T08:39:00Z</dcterms:created>
  <dc:creator>真宇律师</dc:creator>
  <cp:lastModifiedBy>豪</cp:lastModifiedBy>
  <dcterms:modified xsi:type="dcterms:W3CDTF">2026-03-22T07:06:41Z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3875F290EA314C7180CA451E2A05D1FB</vt:lpwstr>
  </property>
  <property fmtid="{D5CDD505-2E9C-101B-9397-08002B2CF9AE}" pid="4" name="KSOTemplateDocerSaveRecord">
    <vt:lpwstr>eyJoZGlkIjoiNTg0MzMyNGJiMDEzODc5ODNlMGVjODViOWRkZjg1MDgiLCJ1c2VySWQiOiIxMjc2Mzc3NjgxIn0=</vt:lpwstr>
  </property>
</Properties>
</file>