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0FCAB">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餐饮软件买卖合同</w:t>
      </w:r>
    </w:p>
    <w:bookmarkEnd w:id="0"/>
    <w:p w14:paraId="495232A0">
      <w:pPr>
        <w:pStyle w:val="2"/>
        <w:wordWrap w:val="0"/>
        <w:spacing w:before="240" w:after="240" w:line="360" w:lineRule="auto"/>
        <w:jc w:val="righ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合同编号：</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9926475">
      <w:pPr>
        <w:pStyle w:val="2"/>
        <w:wordWrap w:val="0"/>
        <w:spacing w:before="0" w:line="360" w:lineRule="auto"/>
        <w:ind w:firstLine="48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08B8851">
      <w:pPr>
        <w:pStyle w:val="2"/>
        <w:wordWrap w:val="0"/>
        <w:spacing w:before="0" w:line="360" w:lineRule="auto"/>
        <w:ind w:firstLine="48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AE29B0F">
      <w:pPr>
        <w:pStyle w:val="2"/>
        <w:wordWrap w:val="0"/>
        <w:spacing w:before="0" w:line="360" w:lineRule="auto"/>
        <w:ind w:firstLine="48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F649B9F">
      <w:pPr>
        <w:pStyle w:val="2"/>
        <w:wordWrap w:val="0"/>
        <w:spacing w:before="0" w:line="360" w:lineRule="auto"/>
        <w:ind w:firstLine="48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41ADD18">
      <w:pPr>
        <w:pStyle w:val="2"/>
        <w:wordWrap w:val="0"/>
        <w:spacing w:before="240" w:after="24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甲乙双方经友好协商，甲方决定向乙方购</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餐饮系统软件及其配套产品，乙方负责为甲方部署本系统，根据《中华人民共和国合同法》及其他法律法规签订本合同，并由双方共同恪守。条款如下：</w:t>
      </w:r>
    </w:p>
    <w:p w14:paraId="3094D7FB">
      <w:pPr>
        <w:pStyle w:val="2"/>
        <w:wordWrap w:val="0"/>
        <w:spacing w:before="0" w:line="360" w:lineRule="auto"/>
        <w:ind w:firstLine="48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第一条　合同履行条件及部署准备</w:t>
      </w:r>
    </w:p>
    <w:p w14:paraId="27E96DBF">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经甲乙双方协商，合同自签订起即生效。</w:t>
      </w:r>
    </w:p>
    <w:p w14:paraId="1F02B286">
      <w:pPr>
        <w:pStyle w:val="2"/>
        <w:wordWrap w:val="0"/>
        <w:spacing w:before="0" w:line="360" w:lineRule="auto"/>
        <w:ind w:right="-149"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合同生效后，乙方将于</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日开始在甲方现场部署相应产品。</w:t>
      </w:r>
    </w:p>
    <w:p w14:paraId="447835E4">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2、因甲方工程进度等原因造成乙方现场安装时间变动，甲方应至少提前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日，以书面形式（含邮件、传真）通知乙方，合同中规定的安装时间做相应调整。</w:t>
      </w:r>
    </w:p>
    <w:p w14:paraId="2F6C7E98">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3、部署系统前，甲方有责任配合乙方，确定设备在甲方现场的部署位置，以双方确认的《项目部署表》为最终依据。</w:t>
      </w:r>
    </w:p>
    <w:p w14:paraId="77BFEA22">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4、乙方系统安装实施过程中，甲方有责任保障现场电力、网络等配套设备正常运转，如需改动《项目部署表》中的相关事项，必须事先通知乙方。</w:t>
      </w:r>
    </w:p>
    <w:p w14:paraId="3A50937F">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5、如在合同履行期间，甲方提出硬件设备方面的增删、变更或其他修改，以双方签字确认的《设备变更表》为最终依据，合同金额也</w:t>
      </w:r>
      <w:r>
        <w:rPr>
          <w:rFonts w:hint="eastAsia" w:ascii="微软雅黑" w:hAnsi="微软雅黑" w:eastAsia="微软雅黑" w:cs="微软雅黑"/>
          <w:color w:val="000000" w:themeColor="text1"/>
          <w:sz w:val="24"/>
          <w:szCs w:val="24"/>
          <w14:textFill>
            <w14:solidFill>
              <w14:schemeClr w14:val="tx1"/>
            </w14:solidFill>
          </w14:textFill>
        </w:rPr>
        <w:t>作</w:t>
      </w:r>
      <w:r>
        <w:rPr>
          <w:rFonts w:hint="eastAsia" w:ascii="微软雅黑" w:hAnsi="微软雅黑" w:eastAsia="微软雅黑" w:cs="微软雅黑"/>
          <w:color w:val="000000" w:themeColor="text1"/>
          <w:sz w:val="24"/>
          <w:szCs w:val="24"/>
          <w14:textFill>
            <w14:solidFill>
              <w14:schemeClr w14:val="tx1"/>
            </w14:solidFill>
          </w14:textFill>
        </w:rPr>
        <w:t>相应调整。</w:t>
      </w:r>
    </w:p>
    <w:p w14:paraId="37C15F27">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6、如在合同履行期间，甲方对软件产品提出功能修改、增补或新的开发需求，须由双方共同签订《需求确认表》，合同金额也做相应调整。</w:t>
      </w:r>
    </w:p>
    <w:p w14:paraId="629E708C">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第二条　服务及培训</w:t>
      </w:r>
    </w:p>
    <w:p w14:paraId="2B080DCA">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1、乙方在系统部署实施后，对甲方相关人员进行一次全面、集中</w:t>
      </w:r>
      <w:r>
        <w:rPr>
          <w:rFonts w:hint="eastAsia" w:ascii="微软雅黑" w:hAnsi="微软雅黑" w:eastAsia="微软雅黑" w:cs="微软雅黑"/>
          <w:color w:val="000000" w:themeColor="text1"/>
          <w:sz w:val="24"/>
          <w:szCs w:val="24"/>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产品培训，培训以双方签订的《培训计划书》为依据，双方均有义务遵照《培训计划书》进行相关培训。</w:t>
      </w:r>
    </w:p>
    <w:p w14:paraId="59EDC11F">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2、乙方为甲方提供一年内免费维护和技术支持服务，一年免费售后期自双方签署《盯场记录》时间开始计算。</w:t>
      </w:r>
    </w:p>
    <w:p w14:paraId="63502EF3">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3、售后期内，发生以下情形之一者，产生的维护与保修费用不属于免费售后范围，由甲方承担相关费用：</w:t>
      </w:r>
    </w:p>
    <w:p w14:paraId="431EFB38">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（1）甲方人员未按照产品操作手册或说明进行操作而因其的设备损毁、软件崩溃等故障；</w:t>
      </w:r>
    </w:p>
    <w:p w14:paraId="1D795E84">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（2）甲方人员故意或因工作疏忽而引起的产品意外损毁；</w:t>
      </w:r>
    </w:p>
    <w:p w14:paraId="5CE49C10">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（3）甲方人员在未予书面（含邮件、传真）知会或咨询乙方人员的情况下，对产品进行自行改动、设备变更及配置改变，而造成的损失；</w:t>
      </w:r>
    </w:p>
    <w:p w14:paraId="54C80947">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（4）甲方人员在未予书面（含邮件、传真）知会或咨询乙方人员的情况下，邀请第三方人员对产品、设备进行的维护、调整、改动而引起的故障损失。</w:t>
      </w:r>
    </w:p>
    <w:p w14:paraId="6BA12BED">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4、在免费售后期内，乙方一共可向甲方免费提供两次全面、集中</w:t>
      </w:r>
      <w:r>
        <w:rPr>
          <w:rFonts w:hint="eastAsia" w:ascii="微软雅黑" w:hAnsi="微软雅黑" w:eastAsia="微软雅黑" w:cs="微软雅黑"/>
          <w:color w:val="000000" w:themeColor="text1"/>
          <w:sz w:val="24"/>
          <w:szCs w:val="24"/>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产品培训（包括系统部署实施完成后的一次）。超出两次免费培训后，如甲方因营业原因需要乙方提供产品培训服务，应按与乙方共同签订《培训计划书》进行安排，并以人民币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元/次价格向乙方支付培训费用。</w:t>
      </w:r>
    </w:p>
    <w:p w14:paraId="50183821">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5、免费售后期期满后，甲方可根据乙方提供的售后标准续签《售后合同》并按相应的售后收费标准向乙方支付服务费用。如未续签新的售后合同，则乙方按人民币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元／次向甲方收取上门维护费用。</w:t>
      </w:r>
    </w:p>
    <w:p w14:paraId="7E4AFB86">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6、乙方在系统部署完成后，按甲方上线要求时间，在系统正式上线当天提供全程盯场服务，协助和确保甲方人员正常使用产品，双方以共同签署的《盯场记录》为依据。</w:t>
      </w:r>
    </w:p>
    <w:p w14:paraId="7BFFA0AD">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第三条　违约责任</w:t>
      </w:r>
    </w:p>
    <w:p w14:paraId="272A33F8">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1、付款违约责任：</w:t>
      </w:r>
    </w:p>
    <w:p w14:paraId="60C238BE">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甲方未按合同规定期限支付合同款，经双方协商无效者，则须向乙方偿付未支付的款额，并自延期日起按合同总额的</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/天向乙方支付违约金。</w:t>
      </w:r>
    </w:p>
    <w:p w14:paraId="0C9FA36A">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2、项目延期责任：</w:t>
      </w:r>
    </w:p>
    <w:p w14:paraId="2F0CB900">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乙方因产品质量不合格，致项目延误，经双方协商无效者，自延期日起按合同总额的</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天向甲方支付违约金。</w:t>
      </w:r>
    </w:p>
    <w:p w14:paraId="0C98DEFB">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3、单方终止合同责任：</w:t>
      </w:r>
    </w:p>
    <w:p w14:paraId="214BA675">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合同签字生效后，甲乙双方中任何一方因免责条款以外的原因单方面终止履行合同，则须向另一方支付合同款总额</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作为违约金。</w:t>
      </w:r>
    </w:p>
    <w:p w14:paraId="26520F45">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4、其他：</w:t>
      </w:r>
    </w:p>
    <w:p w14:paraId="21401B53">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（1）甲方未按期付款且催款无效的时，经双方协商无效，自付款超</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天起，乙方有权随时收回系统控制权及设备所有权；</w:t>
      </w:r>
    </w:p>
    <w:p w14:paraId="42F81810">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（2）系统安装并正式上线后，自双方签署《盯场记录》结束时间起，正常运行</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日后如甲方仍未签收《项目验收单》，则视为本项目已经验收通过。</w:t>
      </w:r>
    </w:p>
    <w:p w14:paraId="4037F0D6">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5、甲方承认</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餐饮系统软件的知识产权归乙方所有，如甲方发生侵犯乙方知识产权行为（包括但不限于非法复制、分发、反编译等），由此给乙方造成的损失由甲方承担。</w:t>
      </w:r>
    </w:p>
    <w:p w14:paraId="04490086">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第四条　付款方式 </w:t>
      </w:r>
    </w:p>
    <w:p w14:paraId="63592EA6">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1、本合同的费用总额为人民币（大</w:t>
      </w:r>
      <w:r>
        <w:rPr>
          <w:rFonts w:hint="eastAsia" w:ascii="微软雅黑" w:hAnsi="微软雅黑" w:eastAsia="微软雅黑" w:cs="微软雅黑"/>
          <w:color w:val="000000" w:themeColor="text1"/>
          <w:sz w:val="24"/>
          <w:szCs w:val="24"/>
          <w14:textFill>
            <w14:solidFill>
              <w14:schemeClr w14:val="tx1"/>
            </w14:solidFill>
          </w14:textFill>
        </w:rPr>
        <w:t>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p>
    <w:p w14:paraId="57228DDF">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2、合同签字生效当日，甲方应向乙方支付人民币（大写）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元）。乙方在收到相应付款后，即开始相关软、硬件采购及按甲方要求进行其他相关准备工作。</w:t>
      </w:r>
    </w:p>
    <w:p w14:paraId="4A41D27A">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3、乙方硬件设备送达甲方指定地点，甲方按合同内容予以核对签收无误后，需签署《硬件签收表》。</w:t>
      </w:r>
    </w:p>
    <w:p w14:paraId="02219603">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4、乙方完成系统部署、调试、培训，并按合同约定时间对甲方系统正式上线进行盯场服务后，甲方须签署《项目验收单》。</w:t>
      </w:r>
    </w:p>
    <w:p w14:paraId="6B49448D">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第五条　不可抗力</w:t>
      </w:r>
    </w:p>
    <w:p w14:paraId="6DC284AD">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的任何一方由于不可抗力的原因不能履行合同时，应及时向对方通报不能履行或不能完全履行的理由，在取得有关证明以后，允许延期履行、部分履行或者不履行合同，并根据情况可部分或全部免予承担违约责任。</w:t>
      </w:r>
    </w:p>
    <w:p w14:paraId="0815CA24">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第六条　纠纷解决</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pStyle w:val="2"/>
        <w:wordWrap w:val="0"/>
        <w:spacing w:before="0" w:line="360" w:lineRule="auto"/>
        <w:ind w:firstLine="480"/>
        <w:rPr>
          <w:rFonts w:hint="eastAsia" w:ascii="微软雅黑" w:hAnsi="微软雅黑" w:eastAsia="微软雅黑" w:cs="微软雅黑"/>
          <w:b/>
          <w:color w:val="000000" w:themeColor="text1"/>
          <w:sz w:val="24"/>
          <w:szCs w:val="24"/>
          <w:lang w:val="en-US" w:eastAsia="zh-CN"/>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第七条　</w:t>
      </w:r>
      <w:r>
        <w:rPr>
          <w:rFonts w:hint="eastAsia" w:ascii="微软雅黑" w:hAnsi="微软雅黑" w:eastAsia="微软雅黑" w:cs="微软雅黑"/>
          <w:b/>
          <w:color w:val="000000" w:themeColor="text1"/>
          <w:sz w:val="24"/>
          <w:szCs w:val="24"/>
          <w:lang w:val="en-US" w:eastAsia="zh-CN"/>
          <w14:textFill>
            <w14:solidFill>
              <w14:schemeClr w14:val="tx1"/>
            </w14:solidFill>
          </w14:textFill>
        </w:rPr>
        <w:t>送达地址以及送达条款</w:t>
      </w:r>
    </w:p>
    <w:p w14:paraId="0ADBF46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一、送达地址以及方式</w:t>
      </w:r>
    </w:p>
    <w:p w14:paraId="29ACA4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（一）送达地址</w:t>
      </w:r>
    </w:p>
    <w:p w14:paraId="2AD5D29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1.甲方确认送达地址如下：</w:t>
      </w:r>
    </w:p>
    <w:p w14:paraId="17800D2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地址：    省    市    区/县    路    号，</w:t>
      </w:r>
    </w:p>
    <w:p w14:paraId="4C1927F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邮编：            ，</w:t>
      </w:r>
    </w:p>
    <w:p w14:paraId="72DAC25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联系人：      ，</w:t>
      </w:r>
    </w:p>
    <w:p w14:paraId="11D9B4B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联系电话：      -            。</w:t>
      </w:r>
    </w:p>
    <w:p w14:paraId="0B9BA7D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甲方电子送达方式如下：</w:t>
      </w:r>
    </w:p>
    <w:p w14:paraId="191DBDF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手机短信：                  </w:t>
      </w:r>
    </w:p>
    <w:p w14:paraId="3B8FB02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传真：      -            </w:t>
      </w:r>
    </w:p>
    <w:p w14:paraId="0C09E2E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即时通讯账号（微信号）：                  </w:t>
      </w:r>
    </w:p>
    <w:p w14:paraId="3FC231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电子邮箱：            。</w:t>
      </w:r>
    </w:p>
    <w:p w14:paraId="081000A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2.乙方确认送达地址如下：</w:t>
      </w:r>
    </w:p>
    <w:p w14:paraId="7CD6D21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地址：    省    市    区/县    路    号，</w:t>
      </w:r>
    </w:p>
    <w:p w14:paraId="4A6233A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邮编：            ，</w:t>
      </w:r>
    </w:p>
    <w:p w14:paraId="7BF7914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联系人：      ，</w:t>
      </w:r>
    </w:p>
    <w:p w14:paraId="6AF91F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联系电话：      -            。</w:t>
      </w:r>
    </w:p>
    <w:p w14:paraId="0B15ADD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乙方电子送达方式如下：</w:t>
      </w:r>
    </w:p>
    <w:p w14:paraId="12D0A54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手机短信：                  </w:t>
      </w:r>
    </w:p>
    <w:p w14:paraId="3B30B41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传真：      -            </w:t>
      </w:r>
    </w:p>
    <w:p w14:paraId="37474F5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即时通讯账号（微信号）：                  </w:t>
      </w:r>
    </w:p>
    <w:p w14:paraId="24218BF3">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电子邮箱：</w:t>
      </w:r>
    </w:p>
    <w:p w14:paraId="48739564">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（二）送达方式</w:t>
      </w:r>
    </w:p>
    <w:p w14:paraId="037C7869">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 xml:space="preserve"> 双方同意，本合同项下的通知、函件、诉讼文书等文件，以下列方式送达对方：</w:t>
      </w:r>
    </w:p>
    <w:p w14:paraId="1B382A2A">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1.直接送达：将文件送至对方指定的送达地址，视为已送达；</w:t>
      </w:r>
    </w:p>
    <w:p w14:paraId="2DD04B0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2.邮寄送达：将文件通过挂号信、特快专递等方式寄至对方指定的送达地址，以邮戳日期为准，视为已送达；</w:t>
      </w:r>
    </w:p>
    <w:p w14:paraId="496E3C9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3.电子送达：将文件通过电子邮件、短信、微信等方式发送至对方指定的电子邮箱、手机号码等，发送成功即视为已送达。</w:t>
      </w:r>
    </w:p>
    <w:p w14:paraId="2C08836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二、送达条款</w:t>
      </w:r>
    </w:p>
    <w:p w14:paraId="12D8810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（一）本送达条款适用于合同履行履行期间及合同纠纷解决过程中的所有文件送达。</w:t>
      </w:r>
    </w:p>
    <w:p w14:paraId="291C52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（三）双方在合同履行过程中由双方共同明示或默示确认的合同约定外的送达地址和联系方式不影响送达效力。</w:t>
      </w:r>
    </w:p>
    <w:p w14:paraId="1E9A5D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4D90BB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5BEA7E0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蚌埠</w:t>
      </w: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仲裁委员会有权依据法律和适时有效的仲裁规则规定进行送达，法律与仲裁规则规定程序完成之日，视为送达成功：</w:t>
      </w:r>
    </w:p>
    <w:p w14:paraId="59D1D45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1.擅自变更送达地址及信息且未及时通知对方的；</w:t>
      </w:r>
    </w:p>
    <w:p w14:paraId="5D6806D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2.送达地址与信息同工商登记信息不一致且未及时更改的；</w:t>
      </w:r>
    </w:p>
    <w:p w14:paraId="7ED617E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3.故意不接收</w:t>
      </w: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蚌埠</w:t>
      </w: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仲裁委员会送达文书的；</w:t>
      </w:r>
    </w:p>
    <w:p w14:paraId="5748FEF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SA"/>
          <w14:textFill>
            <w14:solidFill>
              <w14:schemeClr w14:val="tx1"/>
            </w14:solidFill>
          </w14:textFill>
        </w:rPr>
        <w:t>4.因接收方过错造成无法正常送达的其他行为。</w:t>
      </w:r>
    </w:p>
    <w:p w14:paraId="73A71F7E">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eastAsia="zh-CN"/>
          <w14:textFill>
            <w14:solidFill>
              <w14:schemeClr w14:val="tx1"/>
            </w14:solidFill>
          </w14:textFill>
        </w:rPr>
        <w:t>第八条、</w:t>
      </w:r>
      <w:r>
        <w:rPr>
          <w:rFonts w:hint="eastAsia" w:ascii="微软雅黑" w:hAnsi="微软雅黑" w:eastAsia="微软雅黑" w:cs="微软雅黑"/>
          <w:b/>
          <w:color w:val="000000" w:themeColor="text1"/>
          <w:sz w:val="24"/>
          <w:szCs w:val="24"/>
          <w14:textFill>
            <w14:solidFill>
              <w14:schemeClr w14:val="tx1"/>
            </w14:solidFill>
          </w14:textFill>
        </w:rPr>
        <w:t>其他</w:t>
      </w:r>
    </w:p>
    <w:p w14:paraId="245596C5">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1、详细条款、价格、技术说明</w:t>
      </w:r>
      <w:r>
        <w:rPr>
          <w:rFonts w:hint="eastAsia" w:ascii="微软雅黑" w:hAnsi="微软雅黑" w:eastAsia="微软雅黑" w:cs="微软雅黑"/>
          <w:color w:val="000000" w:themeColor="text1"/>
          <w:sz w:val="24"/>
          <w:szCs w:val="24"/>
          <w14:textFill>
            <w14:solidFill>
              <w14:schemeClr w14:val="tx1"/>
            </w14:solidFill>
          </w14:textFill>
        </w:rPr>
        <w:t>及其他有关</w:t>
      </w:r>
      <w:r>
        <w:rPr>
          <w:rFonts w:hint="eastAsia" w:ascii="微软雅黑" w:hAnsi="微软雅黑" w:eastAsia="微软雅黑" w:cs="微软雅黑"/>
          <w:color w:val="000000" w:themeColor="text1"/>
          <w:sz w:val="24"/>
          <w:szCs w:val="24"/>
          <w14:textFill>
            <w14:solidFill>
              <w14:schemeClr w14:val="tx1"/>
            </w14:solidFill>
          </w14:textFill>
        </w:rPr>
        <w:t>服务的特定信息由合同附件说明。所有附件及本项目的要求文件、验收报告等均为本合同不可分割的部分，与本合同具有同等</w:t>
      </w:r>
      <w:r>
        <w:rPr>
          <w:rFonts w:hint="eastAsia" w:ascii="微软雅黑" w:hAnsi="微软雅黑" w:eastAsia="微软雅黑" w:cs="微软雅黑"/>
          <w:color w:val="000000" w:themeColor="text1"/>
          <w:sz w:val="24"/>
          <w:szCs w:val="24"/>
          <w14:textFill>
            <w14:solidFill>
              <w14:schemeClr w14:val="tx1"/>
            </w14:solidFill>
          </w14:textFill>
        </w:rPr>
        <w:t>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5667EE41">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2、本合同经双方法人代表或委托代理人签字并盖章后生效。</w:t>
      </w:r>
    </w:p>
    <w:p w14:paraId="2C06BFD9">
      <w:pPr>
        <w:pStyle w:val="2"/>
        <w:wordWrap w:val="0"/>
        <w:spacing w:before="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3、本合同生效后，如有未尽事宜，需经双方友好协商同意后，拟定补充文件，经双方法人代表或委托代理人签字并盖章后生效，补充文件同样作为本合同不可分割的</w:t>
      </w:r>
      <w:r>
        <w:rPr>
          <w:rFonts w:hint="eastAsia" w:ascii="微软雅黑" w:hAnsi="微软雅黑" w:eastAsia="微软雅黑" w:cs="微软雅黑"/>
          <w:color w:val="000000" w:themeColor="text1"/>
          <w:sz w:val="24"/>
          <w:szCs w:val="24"/>
          <w14:textFill>
            <w14:solidFill>
              <w14:schemeClr w14:val="tx1"/>
            </w14:solidFill>
          </w14:textFill>
        </w:rPr>
        <w:t>组成部分</w:t>
      </w:r>
      <w:r>
        <w:rPr>
          <w:rFonts w:hint="eastAsia" w:ascii="微软雅黑" w:hAnsi="微软雅黑" w:eastAsia="微软雅黑" w:cs="微软雅黑"/>
          <w:color w:val="000000" w:themeColor="text1"/>
          <w:sz w:val="24"/>
          <w:szCs w:val="24"/>
          <w14:textFill>
            <w14:solidFill>
              <w14:schemeClr w14:val="tx1"/>
            </w14:solidFill>
          </w14:textFill>
        </w:rPr>
        <w:t>。</w:t>
      </w:r>
    </w:p>
    <w:p w14:paraId="3117C5D1">
      <w:pPr>
        <w:pStyle w:val="2"/>
        <w:wordWrap w:val="0"/>
        <w:spacing w:before="0" w:after="240" w:line="360" w:lineRule="auto"/>
        <w:ind w:firstLine="48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4、本合同一式两份，双方各执一份。</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688B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4861D5CB">
            <w:pPr>
              <w:pStyle w:val="2"/>
              <w:wordWrap w:val="0"/>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tc>
        <w:tc>
          <w:tcPr>
            <w:tcW w:w="4428" w:type="dxa"/>
          </w:tcPr>
          <w:p w14:paraId="7975101B">
            <w:pPr>
              <w:pStyle w:val="2"/>
              <w:wordWrap w:val="0"/>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乙方（盖章）：</w:t>
            </w:r>
          </w:p>
        </w:tc>
      </w:tr>
      <w:tr w14:paraId="6AFBB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266398E8">
            <w:pPr>
              <w:pStyle w:val="2"/>
              <w:wordWrap w:val="0"/>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法定代表人或授权代表（签字）：</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tc>
        <w:tc>
          <w:tcPr>
            <w:tcW w:w="4428" w:type="dxa"/>
          </w:tcPr>
          <w:p w14:paraId="45850190">
            <w:pPr>
              <w:pStyle w:val="2"/>
              <w:wordWrap w:val="0"/>
              <w:spacing w:before="0" w:line="360" w:lineRule="auto"/>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法定代表人或授权代表（签字）：</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tc>
      </w:tr>
    </w:tbl>
    <w:p w14:paraId="27C09260">
      <w:pPr>
        <w:pStyle w:val="2"/>
        <w:wordWrap w:val="0"/>
        <w:spacing w:before="240" w:line="360" w:lineRule="auto"/>
        <w:jc w:val="righ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签署时间：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B6"/>
    <w:rsid w:val="00213CB6"/>
    <w:rsid w:val="00286DB9"/>
    <w:rsid w:val="00E0160D"/>
    <w:rsid w:val="17D22D16"/>
    <w:rsid w:val="3C9B1B43"/>
    <w:rsid w:val="41FD67FC"/>
    <w:rsid w:val="50BB0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widowControl/>
      <w:spacing w:before="90"/>
      <w:jc w:val="left"/>
    </w:pPr>
    <w:rPr>
      <w:rFonts w:ascii="Times New Roman" w:hAnsi="Times New Roman" w:cs="Times New Roman"/>
      <w:kern w:val="0"/>
      <w:sz w:val="24"/>
      <w:szCs w:val="20"/>
    </w:rPr>
  </w:style>
  <w:style w:type="paragraph" w:styleId="3">
    <w:name w:val="Title"/>
    <w:basedOn w:val="1"/>
    <w:next w:val="1"/>
    <w:link w:val="7"/>
    <w:autoRedefine/>
    <w:qFormat/>
    <w:uiPriority w:val="10"/>
    <w:pPr>
      <w:spacing w:before="240" w:after="60"/>
      <w:jc w:val="center"/>
      <w:outlineLvl w:val="0"/>
    </w:pPr>
    <w:rPr>
      <w:rFonts w:eastAsia="黑体" w:asciiTheme="majorHAnsi" w:hAnsiTheme="majorHAnsi" w:cstheme="majorBidi"/>
      <w:b/>
      <w:bCs/>
      <w:sz w:val="32"/>
      <w:szCs w:val="32"/>
    </w:rPr>
  </w:style>
  <w:style w:type="table" w:styleId="5">
    <w:name w:val="Table Grid"/>
    <w:basedOn w:val="4"/>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字符"/>
    <w:basedOn w:val="6"/>
    <w:link w:val="3"/>
    <w:qFormat/>
    <w:uiPriority w:val="10"/>
    <w:rPr>
      <w:rFonts w:eastAsia="黑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3065</Words>
  <Characters>3074</Characters>
  <Lines>18</Lines>
  <Paragraphs>5</Paragraphs>
  <TotalTime>1</TotalTime>
  <ScaleCrop>false</ScaleCrop>
  <LinksUpToDate>false</LinksUpToDate>
  <CharactersWithSpaces>3541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2019-03-01T13:32:00Z</dcterms:created>
  <dc:creator>雯 张</dc:creator>
  <cp:lastModifiedBy>豪</cp:lastModifiedBy>
  <dcterms:modified xsi:type="dcterms:W3CDTF">2026-03-22T06:38:34Z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C3D9E37CDD5746B193DCB02FD8A97453_12</vt:lpwstr>
  </property>
</Properties>
</file>