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FA95F">
      <w:pPr>
        <w:spacing w:line="360" w:lineRule="auto"/>
        <w:ind w:firstLine="480" w:firstLineChars="200"/>
        <w:jc w:val="center"/>
        <w:rPr>
          <w:rFonts w:hint="eastAsia" w:ascii="微软雅黑" w:hAnsi="微软雅黑" w:eastAsia="微软雅黑" w:cs="微软雅黑"/>
          <w:bCs w:val="0"/>
          <w:color w:val="000000" w:themeColor="text1"/>
          <w:sz w:val="24"/>
          <w:szCs w:val="24"/>
          <w14:textFill>
            <w14:solidFill>
              <w14:schemeClr w14:val="tx1"/>
            </w14:solidFill>
          </w14:textFill>
        </w:rPr>
      </w:pPr>
      <w:bookmarkStart w:id="0" w:name="_GoBack"/>
    </w:p>
    <w:p w14:paraId="0E542BF7">
      <w:pPr>
        <w:spacing w:line="360" w:lineRule="auto"/>
        <w:ind w:firstLine="0" w:firstLineChars="0"/>
        <w:jc w:val="center"/>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pacing w:val="57"/>
          <w:sz w:val="24"/>
          <w:szCs w:val="24"/>
          <w14:textFill>
            <w14:solidFill>
              <w14:schemeClr w14:val="tx1"/>
            </w14:solidFill>
          </w14:textFill>
        </w:rPr>
        <w:t>举办会议委托合同</w:t>
      </w:r>
    </w:p>
    <w:p w14:paraId="16A64C3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C1A6A5D">
      <w:p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 xml:space="preserve">甲方（承办方）： </w:t>
      </w:r>
    </w:p>
    <w:p w14:paraId="04F7F173">
      <w:p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693C6B9E">
      <w:p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p>
    <w:p w14:paraId="03F72620">
      <w:p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乙方（举办方）：</w:t>
      </w:r>
    </w:p>
    <w:p w14:paraId="0C465CC2">
      <w:p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统一社会信用代码\公民身份证号：</w:t>
      </w:r>
    </w:p>
    <w:p w14:paraId="25AF037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D1E5C0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乙方因要举办会议，选择甲方酒店作为举办会议活动的场所，经甲乙双方协商一致，达成如下条款：</w:t>
      </w:r>
    </w:p>
    <w:p w14:paraId="5CEC9B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E476B50">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举办会议的主要内容：</w:t>
      </w:r>
    </w:p>
    <w:p w14:paraId="7A0FA4E4">
      <w:pPr>
        <w:spacing w:line="360" w:lineRule="auto"/>
        <w:ind w:left="0" w:firstLine="480" w:firstLineChars="200"/>
        <w:rPr>
          <w:rFonts w:hint="eastAsia" w:ascii="微软雅黑" w:hAnsi="微软雅黑" w:eastAsia="微软雅黑" w:cs="微软雅黑"/>
          <w:bCs w:val="0"/>
          <w:color w:val="000000" w:themeColor="text1"/>
          <w:sz w:val="24"/>
          <w:szCs w:val="24"/>
          <w14:textFill>
            <w14:solidFill>
              <w14:schemeClr w14:val="tx1"/>
            </w14:solidFill>
          </w14:textFill>
        </w:rPr>
      </w:pPr>
      <w:r>
        <w:rPr>
          <w:rFonts w:hint="eastAsia" w:ascii="微软雅黑" w:hAnsi="微软雅黑" w:eastAsia="微软雅黑" w:cs="微软雅黑"/>
          <w:bCs w:val="0"/>
          <w:color w:val="000000" w:themeColor="text1"/>
          <w:sz w:val="24"/>
          <w:szCs w:val="24"/>
          <w14:textFill>
            <w14:solidFill>
              <w14:schemeClr w14:val="tx1"/>
            </w14:solidFill>
          </w14:textFill>
        </w:rPr>
        <w:t>乙方举办会议的主要内容为：</w:t>
      </w:r>
    </w:p>
    <w:p w14:paraId="18B87B0E">
      <w:pPr>
        <w:spacing w:line="360" w:lineRule="auto"/>
        <w:ind w:left="0" w:firstLine="480" w:firstLineChars="200"/>
        <w:rPr>
          <w:rFonts w:hint="eastAsia" w:ascii="微软雅黑" w:hAnsi="微软雅黑" w:eastAsia="微软雅黑" w:cs="微软雅黑"/>
          <w:bCs w:val="0"/>
          <w:color w:val="000000" w:themeColor="text1"/>
          <w:sz w:val="24"/>
          <w:szCs w:val="24"/>
          <w14:textFill>
            <w14:solidFill>
              <w14:schemeClr w14:val="tx1"/>
            </w14:solidFill>
          </w14:textFill>
        </w:rPr>
      </w:pPr>
    </w:p>
    <w:p w14:paraId="6984B1B2">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住房安排</w:t>
      </w:r>
    </w:p>
    <w:p w14:paraId="7759A4E8">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房型及价格：</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875"/>
        <w:gridCol w:w="1740"/>
        <w:gridCol w:w="1845"/>
      </w:tblGrid>
      <w:tr w14:paraId="3114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20" w:type="dxa"/>
            <w:tcBorders>
              <w:top w:val="single" w:color="auto" w:sz="4" w:space="0"/>
              <w:left w:val="single" w:color="auto" w:sz="4" w:space="0"/>
              <w:bottom w:val="single" w:color="auto" w:sz="4" w:space="0"/>
              <w:right w:val="single" w:color="auto" w:sz="4" w:space="0"/>
            </w:tcBorders>
            <w:vAlign w:val="center"/>
          </w:tcPr>
          <w:p w14:paraId="552488BF">
            <w:pPr>
              <w:spacing w:line="50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入住日期</w:t>
            </w:r>
          </w:p>
        </w:tc>
        <w:tc>
          <w:tcPr>
            <w:tcW w:w="1420" w:type="dxa"/>
            <w:tcBorders>
              <w:top w:val="single" w:color="auto" w:sz="4" w:space="0"/>
              <w:left w:val="single" w:color="auto" w:sz="4" w:space="0"/>
              <w:bottom w:val="single" w:color="auto" w:sz="4" w:space="0"/>
              <w:right w:val="single" w:color="auto" w:sz="4" w:space="0"/>
            </w:tcBorders>
            <w:vAlign w:val="center"/>
          </w:tcPr>
          <w:p w14:paraId="28B4C327">
            <w:pPr>
              <w:spacing w:line="500" w:lineRule="exac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退房日期</w:t>
            </w:r>
          </w:p>
        </w:tc>
        <w:tc>
          <w:tcPr>
            <w:tcW w:w="1420" w:type="dxa"/>
            <w:tcBorders>
              <w:top w:val="single" w:color="auto" w:sz="4" w:space="0"/>
              <w:left w:val="single" w:color="auto" w:sz="4" w:space="0"/>
              <w:bottom w:val="single" w:color="auto" w:sz="4" w:space="0"/>
              <w:right w:val="single" w:color="auto" w:sz="4" w:space="0"/>
            </w:tcBorders>
            <w:vAlign w:val="center"/>
          </w:tcPr>
          <w:p w14:paraId="54988627">
            <w:pPr>
              <w:spacing w:line="50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房型</w:t>
            </w:r>
          </w:p>
        </w:tc>
        <w:tc>
          <w:tcPr>
            <w:tcW w:w="1875" w:type="dxa"/>
            <w:tcBorders>
              <w:top w:val="single" w:color="auto" w:sz="4" w:space="0"/>
              <w:left w:val="single" w:color="auto" w:sz="4" w:space="0"/>
              <w:bottom w:val="single" w:color="auto" w:sz="4" w:space="0"/>
              <w:right w:val="single" w:color="auto" w:sz="4" w:space="0"/>
            </w:tcBorders>
            <w:vAlign w:val="center"/>
          </w:tcPr>
          <w:p w14:paraId="251146F6">
            <w:pPr>
              <w:spacing w:line="50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价格</w:t>
            </w:r>
          </w:p>
        </w:tc>
        <w:tc>
          <w:tcPr>
            <w:tcW w:w="1740" w:type="dxa"/>
            <w:tcBorders>
              <w:top w:val="single" w:color="auto" w:sz="4" w:space="0"/>
              <w:left w:val="single" w:color="auto" w:sz="4" w:space="0"/>
              <w:bottom w:val="single" w:color="auto" w:sz="4" w:space="0"/>
              <w:right w:val="single" w:color="auto" w:sz="4" w:space="0"/>
            </w:tcBorders>
            <w:vAlign w:val="center"/>
          </w:tcPr>
          <w:p w14:paraId="42F422DC">
            <w:pPr>
              <w:spacing w:line="50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保留房间数</w:t>
            </w:r>
          </w:p>
        </w:tc>
        <w:tc>
          <w:tcPr>
            <w:tcW w:w="1845" w:type="dxa"/>
            <w:tcBorders>
              <w:top w:val="single" w:color="auto" w:sz="4" w:space="0"/>
              <w:left w:val="single" w:color="auto" w:sz="4" w:space="0"/>
              <w:bottom w:val="single" w:color="auto" w:sz="4" w:space="0"/>
              <w:right w:val="single" w:color="auto" w:sz="4" w:space="0"/>
            </w:tcBorders>
            <w:vAlign w:val="center"/>
          </w:tcPr>
          <w:p w14:paraId="4B3043ED">
            <w:pPr>
              <w:spacing w:line="500" w:lineRule="exact"/>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保底房间数</w:t>
            </w:r>
          </w:p>
        </w:tc>
      </w:tr>
      <w:tr w14:paraId="7008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20" w:type="dxa"/>
            <w:tcBorders>
              <w:top w:val="single" w:color="auto" w:sz="4" w:space="0"/>
              <w:left w:val="single" w:color="auto" w:sz="4" w:space="0"/>
              <w:bottom w:val="single" w:color="auto" w:sz="4" w:space="0"/>
              <w:right w:val="single" w:color="auto" w:sz="4" w:space="0"/>
            </w:tcBorders>
            <w:vAlign w:val="center"/>
          </w:tcPr>
          <w:p w14:paraId="7B7E89FA">
            <w:pPr>
              <w:spacing w:line="50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1420" w:type="dxa"/>
            <w:tcBorders>
              <w:top w:val="single" w:color="auto" w:sz="4" w:space="0"/>
              <w:left w:val="single" w:color="auto" w:sz="4" w:space="0"/>
              <w:bottom w:val="single" w:color="auto" w:sz="4" w:space="0"/>
              <w:right w:val="single" w:color="auto" w:sz="4" w:space="0"/>
            </w:tcBorders>
            <w:vAlign w:val="center"/>
          </w:tcPr>
          <w:p w14:paraId="606039C6">
            <w:pPr>
              <w:spacing w:line="50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1420" w:type="dxa"/>
            <w:tcBorders>
              <w:top w:val="single" w:color="auto" w:sz="4" w:space="0"/>
              <w:left w:val="single" w:color="auto" w:sz="4" w:space="0"/>
              <w:bottom w:val="single" w:color="auto" w:sz="4" w:space="0"/>
              <w:right w:val="single" w:color="auto" w:sz="4" w:space="0"/>
            </w:tcBorders>
            <w:vAlign w:val="center"/>
          </w:tcPr>
          <w:p w14:paraId="14C45D21">
            <w:pPr>
              <w:spacing w:line="50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1875" w:type="dxa"/>
            <w:tcBorders>
              <w:top w:val="single" w:color="auto" w:sz="4" w:space="0"/>
              <w:left w:val="single" w:color="auto" w:sz="4" w:space="0"/>
              <w:bottom w:val="single" w:color="auto" w:sz="4" w:space="0"/>
              <w:right w:val="single" w:color="auto" w:sz="4" w:space="0"/>
            </w:tcBorders>
            <w:vAlign w:val="center"/>
          </w:tcPr>
          <w:p w14:paraId="0EF5A5BC">
            <w:pPr>
              <w:spacing w:line="500" w:lineRule="exac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tc>
        <w:tc>
          <w:tcPr>
            <w:tcW w:w="1740" w:type="dxa"/>
            <w:tcBorders>
              <w:top w:val="single" w:color="auto" w:sz="4" w:space="0"/>
              <w:left w:val="single" w:color="auto" w:sz="4" w:space="0"/>
              <w:bottom w:val="single" w:color="auto" w:sz="4" w:space="0"/>
              <w:right w:val="single" w:color="auto" w:sz="4" w:space="0"/>
            </w:tcBorders>
            <w:vAlign w:val="center"/>
          </w:tcPr>
          <w:p w14:paraId="3844C90C">
            <w:pPr>
              <w:spacing w:line="500" w:lineRule="exac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845" w:type="dxa"/>
            <w:tcBorders>
              <w:top w:val="single" w:color="auto" w:sz="4" w:space="0"/>
              <w:left w:val="single" w:color="auto" w:sz="4" w:space="0"/>
              <w:bottom w:val="single" w:color="auto" w:sz="4" w:space="0"/>
              <w:right w:val="single" w:color="auto" w:sz="4" w:space="0"/>
            </w:tcBorders>
            <w:vAlign w:val="center"/>
          </w:tcPr>
          <w:p w14:paraId="2B2B1F81">
            <w:pPr>
              <w:spacing w:line="500" w:lineRule="exact"/>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bl>
    <w:p w14:paraId="4FC25E75">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以上房间预计费用：¥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大写：</w:t>
      </w:r>
      <w:r>
        <w:rPr>
          <w:rFonts w:hint="eastAsia" w:ascii="微软雅黑" w:hAnsi="微软雅黑" w:eastAsia="微软雅黑" w:cs="微软雅黑"/>
          <w:color w:val="000000" w:themeColor="text1"/>
          <w:sz w:val="24"/>
          <w:szCs w:val="24"/>
          <w14:textFill>
            <w14:solidFill>
              <w14:schemeClr w14:val="tx1"/>
            </w14:solidFill>
          </w14:textFill>
        </w:rPr>
        <w:t>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w:t>
      </w:r>
    </w:p>
    <w:p w14:paraId="70535FCB">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上述报价含有每日中西式自助早餐。按实际入住人数确定,每间房最多只含两份早餐。</w:t>
      </w:r>
    </w:p>
    <w:p w14:paraId="6BA7C74F">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应公安部要求，乙方所有住房人员须自行至前台登记身份证件。</w:t>
      </w:r>
    </w:p>
    <w:p w14:paraId="4F0DD906">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后甲方会按本合同的房间预定数为乙方预留房间以保证客人入住，但实际用房数浮动不得超过预计用房数的3%，保底用房数不得低于预留数量的97%；若实际用房数低于保底用房数，甲方将按保底用房数向乙方收取每日房费，若高于预订房间数，则按实际用房数结算，入住当天不能更改用房保底数或取消订房。以上房价是专门提供予此次会议团队，基于每个团队每日用房数达到以上保底数量的基础上提供。</w:t>
      </w:r>
    </w:p>
    <w:p w14:paraId="2ABF79C5">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费用结算方式：以上房间所有费用由乙方统一支付，免押入住，如出现房损由乙方承担。</w:t>
      </w:r>
    </w:p>
    <w:p w14:paraId="0C329DD7">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甲方免费提供宽带及WIFI上网、游泳池及健身房服务。</w:t>
      </w:r>
    </w:p>
    <w:p w14:paraId="52CA746A">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用房最晚退房时间为中午12:00，中午12:00以后晚18:00以前按半天收取，18:00以后按全天收取。</w:t>
      </w:r>
    </w:p>
    <w:p w14:paraId="654A63CD">
      <w:pPr>
        <w:numPr>
          <w:ilvl w:val="0"/>
          <w:numId w:val="2"/>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房间礼品布置或会议资料房内放置，甲方将按20元/间标准收取。</w:t>
      </w:r>
    </w:p>
    <w:p w14:paraId="1B570C4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E9AA203">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会议安排</w:t>
      </w:r>
    </w:p>
    <w:p w14:paraId="32F487E2">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场地：</w:t>
      </w:r>
    </w:p>
    <w:p w14:paraId="746D69F9">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以上会议场地使用</w:t>
      </w:r>
    </w:p>
    <w:p w14:paraId="454C6B9F">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预计费用：¥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大写：</w:t>
      </w:r>
      <w:r>
        <w:rPr>
          <w:rFonts w:hint="eastAsia" w:ascii="微软雅黑" w:hAnsi="微软雅黑" w:eastAsia="微软雅黑" w:cs="微软雅黑"/>
          <w:color w:val="000000" w:themeColor="text1"/>
          <w:sz w:val="24"/>
          <w:szCs w:val="24"/>
          <w14:textFill>
            <w14:solidFill>
              <w14:schemeClr w14:val="tx1"/>
            </w14:solidFill>
          </w14:textFill>
        </w:rPr>
        <w:t>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w:t>
      </w:r>
    </w:p>
    <w:p w14:paraId="4068212A">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以上会议室场租全天按8小时计，半天按照4小时计；若会议时间超过此范围，4小时内按半天场租收费，超过4小时按全天场租收费。</w:t>
      </w:r>
    </w:p>
    <w:p w14:paraId="71F6F355">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乙方如需在甲方公共区域和会议室进行装饰和布置，须事先征得甲方同意。</w:t>
      </w:r>
    </w:p>
    <w:p w14:paraId="63E23062">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甲方公共区域不允许摆放X展架及易拉宝。</w:t>
      </w:r>
    </w:p>
    <w:p w14:paraId="4E62A05F">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会议期间免费提供项目：</w:t>
      </w:r>
    </w:p>
    <w:p w14:paraId="1855F83A">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会间提供茶水或本地矿泉水；</w:t>
      </w:r>
    </w:p>
    <w:p w14:paraId="76F13B53">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会间提供纸、笔；</w:t>
      </w:r>
    </w:p>
    <w:p w14:paraId="338A940B">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会间免费提供基本的绿色植物；</w:t>
      </w:r>
    </w:p>
    <w:p w14:paraId="71B4D1D7">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会议名称的欢迎水牌3块（请贵单位提前至少72小时告知）；</w:t>
      </w:r>
    </w:p>
    <w:p w14:paraId="6D0BEA45">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提供签到台，立式讲台；</w:t>
      </w:r>
    </w:p>
    <w:p w14:paraId="74EE70B2">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席位卡20张、餐卡20张；</w:t>
      </w:r>
    </w:p>
    <w:p w14:paraId="51485BBB">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会议期间使用会议室免费提供话筒；</w:t>
      </w:r>
    </w:p>
    <w:p w14:paraId="22E709D4">
      <w:pPr>
        <w:numPr>
          <w:ilvl w:val="0"/>
          <w:numId w:val="4"/>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宴会厅免费4小时布场时间，超过4小时将会按照酒店相关规定收取提前布场费用。若白天无会议和活动可以在白天布场，若有宴会需在宴会结束后才可布场。</w:t>
      </w:r>
    </w:p>
    <w:p w14:paraId="3389B01D">
      <w:pPr>
        <w:numPr>
          <w:ilvl w:val="0"/>
          <w:numId w:val="3"/>
        </w:numPr>
        <w:spacing w:line="360" w:lineRule="auto"/>
        <w:ind w:firstLine="480" w:firstLineChars="200"/>
        <w:rPr>
          <w:rFonts w:hint="eastAsia" w:ascii="微软雅黑" w:hAnsi="微软雅黑" w:eastAsia="微软雅黑" w:cs="微软雅黑"/>
          <w:b w:val="0"/>
          <w:bCs/>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14:textFill>
            <w14:solidFill>
              <w14:schemeClr w14:val="tx1"/>
            </w14:solidFill>
          </w14:textFill>
        </w:rPr>
        <w:t>会议期间收费项目：</w:t>
      </w:r>
    </w:p>
    <w:p w14:paraId="126B0C3C">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席位卡免费20张，超出¥5元/张； </w:t>
      </w:r>
    </w:p>
    <w:p w14:paraId="18B9666B">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水牌免费3块，超出¥50元/块；     </w:t>
      </w:r>
    </w:p>
    <w:p w14:paraId="5019225C">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多媒体投影仪5200流明 ¥1800元/天，¥1200元/半天；   </w:t>
      </w:r>
    </w:p>
    <w:p w14:paraId="38A10A1D">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LED屏：P5分辨率；尺寸：2.6*7.2；¥7200元/半天，¥13000元/天；</w:t>
      </w:r>
    </w:p>
    <w:p w14:paraId="64F8E524">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横幅（布标）10米内¥400元/条，大于10米¥600元/条；</w:t>
      </w:r>
    </w:p>
    <w:p w14:paraId="58DAB759">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会间茶歇¥45元/人/次起（含2款点心、2款水果、咖啡和茶）；¥52元/人/次起（含3款点心、3款水果、咖啡和茶）；</w:t>
      </w:r>
    </w:p>
    <w:p w14:paraId="294AADAA">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拉网线¥100元/天/条；</w:t>
      </w:r>
    </w:p>
    <w:p w14:paraId="4A7C7006">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会议期间使用超过220V强电收费¥800元/半天；¥1600元/全天；  </w:t>
      </w:r>
    </w:p>
    <w:p w14:paraId="0D4D9D24">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宴会鲜花布置费用另计；</w:t>
      </w:r>
    </w:p>
    <w:p w14:paraId="2591F520">
      <w:pPr>
        <w:numPr>
          <w:ilvl w:val="0"/>
          <w:numId w:val="5"/>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未涉及到的场地及设施价格另议。</w:t>
      </w:r>
    </w:p>
    <w:p w14:paraId="11F68BEE">
      <w:pPr>
        <w:numPr>
          <w:ilvl w:val="0"/>
          <w:numId w:val="3"/>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本合同履行期内，乙方应自行承担会议活动期间的现场秩序及安全保障责任。</w:t>
      </w:r>
    </w:p>
    <w:p w14:paraId="1029605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F00E29B">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用餐安排</w:t>
      </w:r>
    </w:p>
    <w:p w14:paraId="74E6523C">
      <w:pPr>
        <w:numPr>
          <w:ilvl w:val="0"/>
          <w:numId w:val="6"/>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中餐、晚餐用餐价格：按每人¥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大写：</w:t>
      </w:r>
      <w:r>
        <w:rPr>
          <w:rFonts w:hint="eastAsia" w:ascii="微软雅黑" w:hAnsi="微软雅黑" w:eastAsia="微软雅黑" w:cs="微软雅黑"/>
          <w:color w:val="000000" w:themeColor="text1"/>
          <w:sz w:val="24"/>
          <w:szCs w:val="24"/>
          <w14:textFill>
            <w14:solidFill>
              <w14:schemeClr w14:val="tx1"/>
            </w14:solidFill>
          </w14:textFill>
        </w:rPr>
        <w:t>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整</w:t>
      </w:r>
      <w:r>
        <w:rPr>
          <w:rFonts w:hint="eastAsia" w:ascii="微软雅黑" w:hAnsi="微软雅黑" w:eastAsia="微软雅黑" w:cs="微软雅黑"/>
          <w:color w:val="000000" w:themeColor="text1"/>
          <w:sz w:val="24"/>
          <w:szCs w:val="24"/>
          <w14:textFill>
            <w14:solidFill>
              <w14:schemeClr w14:val="tx1"/>
            </w14:solidFill>
          </w14:textFill>
        </w:rPr>
        <w:t>），每桌10人计；酒水另行计费。</w:t>
      </w:r>
    </w:p>
    <w:p w14:paraId="08B4CBF7">
      <w:pPr>
        <w:numPr>
          <w:ilvl w:val="0"/>
          <w:numId w:val="6"/>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乙方会议所有用餐需至少提前72小时提供用餐保证人数给甲方，不足保证人数按保证人数收取费用，超出保证人数按实际人数结算。</w:t>
      </w:r>
    </w:p>
    <w:p w14:paraId="79A4E16F">
      <w:pPr>
        <w:numPr>
          <w:ilvl w:val="0"/>
          <w:numId w:val="6"/>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甲方不允许乙方本次会议自带红、白酒到甲方场所饮用，若自带，则需收取¥100元/桌酒水开瓶费。饮料、啤酒谢绝自带。</w:t>
      </w:r>
    </w:p>
    <w:p w14:paraId="2837BB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F4B4F96">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茶歇安排</w:t>
      </w:r>
    </w:p>
    <w:p w14:paraId="3323603F">
      <w:pPr>
        <w:numPr>
          <w:ilvl w:val="0"/>
          <w:numId w:val="7"/>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按每人¥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大写：</w:t>
      </w:r>
      <w:r>
        <w:rPr>
          <w:rFonts w:hint="eastAsia" w:ascii="微软雅黑" w:hAnsi="微软雅黑" w:eastAsia="微软雅黑" w:cs="微软雅黑"/>
          <w:color w:val="000000" w:themeColor="text1"/>
          <w:sz w:val="24"/>
          <w:szCs w:val="24"/>
          <w14:textFill>
            <w14:solidFill>
              <w14:schemeClr w14:val="tx1"/>
            </w14:solidFill>
          </w14:textFill>
        </w:rPr>
        <w:t>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整</w:t>
      </w:r>
      <w:r>
        <w:rPr>
          <w:rFonts w:hint="eastAsia" w:ascii="微软雅黑" w:hAnsi="微软雅黑" w:eastAsia="微软雅黑" w:cs="微软雅黑"/>
          <w:color w:val="000000" w:themeColor="text1"/>
          <w:sz w:val="24"/>
          <w:szCs w:val="24"/>
          <w14:textFill>
            <w14:solidFill>
              <w14:schemeClr w14:val="tx1"/>
            </w14:solidFill>
          </w14:textFill>
        </w:rPr>
        <w:t>）计。</w:t>
      </w:r>
    </w:p>
    <w:p w14:paraId="187735AD">
      <w:pPr>
        <w:numPr>
          <w:ilvl w:val="0"/>
          <w:numId w:val="7"/>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乙方会议所用茶歇需至少提前48小时提供保证人数给甲方，保证人数不能低于参会人数的70%；不足保证人数按保证人数收取费用，超出保证人数按实际人数结算。</w:t>
      </w:r>
    </w:p>
    <w:p w14:paraId="7F1B139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103A78B">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付款方式</w:t>
      </w:r>
    </w:p>
    <w:p w14:paraId="1AF166CC">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此次会议预计总费用：¥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w:t>
      </w:r>
    </w:p>
    <w:p w14:paraId="04ED5274">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甲、乙双方签定协议时，乙方需预付房间、会场、用餐等会议总消费的30%，即¥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元整）作为本次会议的定金，于会议报到前乙方需预付房间、会场、用餐等会议总消费的80%预付款，即¥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元整）。甲方将在收到乙方回传的合同及预付款后保留乙方会议所需资源。</w:t>
      </w:r>
    </w:p>
    <w:p w14:paraId="7E6F3B42">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于会议结束当天结清所有尾款，如退房未能结清尾款，乙方需要押同等金额的预授权作为担保，甲方提供等额发票；若尾款逾期未付，甲方有权按照乙方应付款项总额的每日万分之五的标准向乙方收取违约金。</w:t>
      </w:r>
    </w:p>
    <w:p w14:paraId="00B1CF8F">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会议期间所有费用由乙方工作人员签单确认后支付。</w:t>
      </w:r>
    </w:p>
    <w:p w14:paraId="3173714C">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以上费用可电汇账户如下：</w:t>
      </w:r>
    </w:p>
    <w:p w14:paraId="235561D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开户名：</w:t>
      </w:r>
    </w:p>
    <w:p w14:paraId="4912234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开户行：</w:t>
      </w:r>
    </w:p>
    <w:p w14:paraId="3FD40EA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银行</w:t>
      </w:r>
      <w:r>
        <w:rPr>
          <w:rFonts w:hint="eastAsia" w:ascii="微软雅黑" w:hAnsi="微软雅黑" w:eastAsia="微软雅黑" w:cs="微软雅黑"/>
          <w:color w:val="000000" w:themeColor="text1"/>
          <w:sz w:val="24"/>
          <w:szCs w:val="24"/>
          <w14:textFill>
            <w14:solidFill>
              <w14:schemeClr w14:val="tx1"/>
            </w14:solidFill>
          </w14:textFill>
        </w:rPr>
        <w:t>账号：</w:t>
      </w:r>
    </w:p>
    <w:p w14:paraId="2D6D4038">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破损费用：会议期间，因乙方、乙方人员或参加乙方会议人员原因造成甲方财产损失，乙方应照价赔偿。</w:t>
      </w:r>
    </w:p>
    <w:p w14:paraId="6B7FF2D8">
      <w:pPr>
        <w:numPr>
          <w:ilvl w:val="0"/>
          <w:numId w:val="8"/>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关于会议取消的说明：</w:t>
      </w:r>
    </w:p>
    <w:p w14:paraId="7EDC3031">
      <w:pPr>
        <w:numPr>
          <w:ilvl w:val="0"/>
          <w:numId w:val="9"/>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乙方如在签订协议后取消会议，已收的定金不予返还。</w:t>
      </w:r>
    </w:p>
    <w:p w14:paraId="5DEE941F">
      <w:pPr>
        <w:numPr>
          <w:ilvl w:val="0"/>
          <w:numId w:val="9"/>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乙方如在会议前7天取消此次活动，甲方将收取总费用的60%作为赔偿金。</w:t>
      </w:r>
    </w:p>
    <w:p w14:paraId="13B9EB2A">
      <w:pPr>
        <w:numPr>
          <w:ilvl w:val="0"/>
          <w:numId w:val="9"/>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乙方如在会议前2天取消此次活动，甲方将收取总费用的80%作为赔偿金。</w:t>
      </w:r>
    </w:p>
    <w:p w14:paraId="0919BBBA">
      <w:pPr>
        <w:numPr>
          <w:ilvl w:val="0"/>
          <w:numId w:val="9"/>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乙方如在会议前24小时取消此次活动，甲方将收取总费用的100%作为赔偿金。</w:t>
      </w:r>
    </w:p>
    <w:p w14:paraId="59CDA78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6CB9EA8">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免责条款</w:t>
      </w:r>
    </w:p>
    <w:p w14:paraId="5EDCD1F5">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A96558E">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087AD7F7">
      <w:pPr>
        <w:spacing w:line="360" w:lineRule="auto"/>
        <w:ind w:firstLine="480" w:firstLineChars="200"/>
        <w:rPr>
          <w:rFonts w:hint="eastAsia" w:ascii="微软雅黑" w:hAnsi="微软雅黑" w:eastAsia="微软雅黑" w:cs="微软雅黑"/>
          <w:bCs w:val="0"/>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val="0"/>
          <w:color w:val="000000" w:themeColor="text1"/>
          <w:sz w:val="24"/>
          <w:szCs w:val="24"/>
          <w14:textFill>
            <w14:solidFill>
              <w14:schemeClr w14:val="tx1"/>
            </w14:solidFill>
          </w14:textFill>
        </w:rPr>
        <w:t>。</w:t>
      </w:r>
    </w:p>
    <w:p w14:paraId="03E735DC">
      <w:pPr>
        <w:spacing w:line="360" w:lineRule="auto"/>
        <w:rPr>
          <w:rFonts w:hint="eastAsia" w:ascii="微软雅黑" w:hAnsi="微软雅黑" w:eastAsia="微软雅黑" w:cs="微软雅黑"/>
          <w:b/>
          <w:bCs w:val="0"/>
          <w:color w:val="000000" w:themeColor="text1"/>
          <w:sz w:val="24"/>
          <w:szCs w:val="24"/>
          <w14:textFill>
            <w14:solidFill>
              <w14:schemeClr w14:val="tx1"/>
            </w14:solidFill>
          </w14:textFill>
        </w:rPr>
      </w:pPr>
    </w:p>
    <w:p w14:paraId="01CCBF11">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违约责任</w:t>
      </w:r>
    </w:p>
    <w:p w14:paraId="4A275A03">
      <w:pPr>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val="0"/>
          <w:color w:val="000000" w:themeColor="text1"/>
          <w:sz w:val="24"/>
          <w:szCs w:val="24"/>
          <w14:textFill>
            <w14:solidFill>
              <w14:schemeClr w14:val="tx1"/>
            </w14:solidFill>
          </w14:textFill>
        </w:rPr>
        <w:t>甲乙双方应当按本合同的约定履行，</w:t>
      </w:r>
      <w:r>
        <w:rPr>
          <w:rFonts w:hint="eastAsia" w:ascii="微软雅黑" w:hAnsi="微软雅黑" w:eastAsia="微软雅黑" w:cs="微软雅黑"/>
          <w:color w:val="000000" w:themeColor="text1"/>
          <w:sz w:val="24"/>
          <w:szCs w:val="24"/>
          <w14:textFill>
            <w14:solidFill>
              <w14:schemeClr w14:val="tx1"/>
            </w14:solidFill>
          </w14:textFill>
        </w:rPr>
        <w:t>一方违反本合同约定或法律</w:t>
      </w:r>
    </w:p>
    <w:p w14:paraId="31DBBA8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规定的，应当赔偿给对方造成的损失，包括但不限于直接损失、预期利益损失、一方因此向第三人承担的违约金、赔偿金以及一方为索赔支出的诉讼费、律师费、鉴定费、差旅费、担保费、保全费、公证费、评估费等全部费用。</w:t>
      </w:r>
    </w:p>
    <w:p w14:paraId="0782C23B">
      <w:pPr>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乙方违约的，上述费用甲方有权从未支付的合同款中扣除，合同</w:t>
      </w:r>
    </w:p>
    <w:p w14:paraId="685FC4F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款不足以支付的，甲方有权就不足部分继续向乙方追偿。</w:t>
      </w:r>
    </w:p>
    <w:p w14:paraId="66A7E23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1A04CCF">
      <w:pPr>
        <w:numPr>
          <w:ilvl w:val="0"/>
          <w:numId w:val="1"/>
        </w:numPr>
        <w:spacing w:line="360" w:lineRule="auto"/>
        <w:ind w:firstLine="480" w:firstLineChars="200"/>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其他约定</w:t>
      </w:r>
    </w:p>
    <w:p w14:paraId="5315009A">
      <w:pPr>
        <w:numPr>
          <w:ilvl w:val="-1"/>
          <w:numId w:val="0"/>
        </w:numPr>
        <w:spacing w:line="360" w:lineRule="auto"/>
        <w:ind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争议解决：凡因本合同引起的或与本合同有关的任何争议，均提交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72C468A2">
      <w:pPr>
        <w:numPr>
          <w:ilvl w:val="-1"/>
          <w:numId w:val="0"/>
        </w:numPr>
        <w:spacing w:line="360" w:lineRule="auto"/>
        <w:ind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本协议一式两份，双方各持一份，具同等效力，自签订之日起生效。</w:t>
      </w:r>
    </w:p>
    <w:p w14:paraId="2463A559">
      <w:pPr>
        <w:numPr>
          <w:ilvl w:val="-1"/>
          <w:numId w:val="0"/>
        </w:numPr>
        <w:spacing w:line="360" w:lineRule="auto"/>
        <w:ind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本合同如有手工更改，需加盖双方公章予以确认，否则修改部分视为无效。</w:t>
      </w:r>
    </w:p>
    <w:p w14:paraId="5CE699CB">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4.</w:t>
      </w:r>
      <w:r>
        <w:rPr>
          <w:rFonts w:hint="eastAsia" w:ascii="微软雅黑" w:hAnsi="微软雅黑" w:eastAsia="微软雅黑" w:cs="微软雅黑"/>
          <w:color w:val="000000"/>
          <w:sz w:val="24"/>
          <w:szCs w:val="24"/>
        </w:rPr>
        <w:t>送达地址以及送达条款</w:t>
      </w:r>
    </w:p>
    <w:p w14:paraId="1C3986A6">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（1）送达地址以及方式</w:t>
      </w:r>
    </w:p>
    <w:p w14:paraId="327EE2DE">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送达地址</w:t>
      </w:r>
    </w:p>
    <w:p w14:paraId="0F7D694E">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甲方确认送达地址如下：</w:t>
      </w:r>
    </w:p>
    <w:p w14:paraId="3FFD6299">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26F9101D">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70B2A687">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4B141271">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68BE71F0">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甲方电子送达方式如下：</w:t>
      </w:r>
    </w:p>
    <w:p w14:paraId="2A301301">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7294C9B9">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4B870583">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4CB35165">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            。</w:t>
      </w:r>
    </w:p>
    <w:p w14:paraId="70224B3B">
      <w:pPr>
        <w:pStyle w:val="2"/>
        <w:spacing w:beforeLines="0" w:afterLines="0" w:line="360" w:lineRule="auto"/>
        <w:ind w:firstLine="480" w:firstLineChars="200"/>
        <w:rPr>
          <w:rFonts w:hint="eastAsia" w:ascii="微软雅黑" w:hAnsi="微软雅黑" w:eastAsia="微软雅黑" w:cs="微软雅黑"/>
          <w:color w:val="000000"/>
          <w:sz w:val="24"/>
          <w:szCs w:val="24"/>
        </w:rPr>
      </w:pPr>
    </w:p>
    <w:p w14:paraId="1DD1C246">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乙方确认送达地址如下：</w:t>
      </w:r>
    </w:p>
    <w:p w14:paraId="2E366158">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    省    市    区/县    路    号，</w:t>
      </w:r>
    </w:p>
    <w:p w14:paraId="5FD27728">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邮编：            ，</w:t>
      </w:r>
    </w:p>
    <w:p w14:paraId="00B7000B">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      ，</w:t>
      </w:r>
    </w:p>
    <w:p w14:paraId="7641591F">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联系电话：      -            。</w:t>
      </w:r>
    </w:p>
    <w:p w14:paraId="741A3441">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乙方电子送达方式如下：</w:t>
      </w:r>
    </w:p>
    <w:p w14:paraId="2A0C1F81">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手机短信：                  </w:t>
      </w:r>
    </w:p>
    <w:p w14:paraId="40E344D6">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传真：      -            </w:t>
      </w:r>
    </w:p>
    <w:p w14:paraId="7F4AF52E">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即时通讯账号（微信号）：                  </w:t>
      </w:r>
    </w:p>
    <w:p w14:paraId="29FD4D6F">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电子邮箱：</w:t>
      </w:r>
    </w:p>
    <w:p w14:paraId="2C6946BF">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送达方式</w:t>
      </w:r>
    </w:p>
    <w:p w14:paraId="75DD4B9A">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双方同意，本合同项下的通知、函件、诉讼文书等文件，以下列方式送达对方：</w:t>
      </w:r>
    </w:p>
    <w:p w14:paraId="08969D92">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直接送达：将文件送至对方指定的送达地址，视为已送达；</w:t>
      </w:r>
    </w:p>
    <w:p w14:paraId="252E2041">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邮寄送达：将文件通过挂号信、特快专递等方式寄至对方指定的送达地址，以邮戳日期为准，视为已送达；</w:t>
      </w:r>
    </w:p>
    <w:p w14:paraId="4639E9E0">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电子送达：将文件通过电子邮件、短信、微信等方式发送至对方指定的电子邮箱、手机号码等，发送成功即视为已送达。</w:t>
      </w:r>
    </w:p>
    <w:p w14:paraId="30CCC29D">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（2）送达条款</w:t>
      </w:r>
    </w:p>
    <w:p w14:paraId="5FA773D7">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本送达条款适用于合同履行期间及合同纠纷解决过程中的所有文件送达。</w:t>
      </w:r>
    </w:p>
    <w:p w14:paraId="46B1633F">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FD31DDD">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双方在合同履行过程中由双方共同明示或默示确认的合同约定外的送达地址和联系方式不影响送达效力。</w:t>
      </w:r>
    </w:p>
    <w:p w14:paraId="15D113B7">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双方认同电子送达效力，合同履行过程中或法院、仲裁委员会按照法律或适时有效的仲裁规则需要进行电子送达的，内容自进入双方接收系统之日起，视为送达成功。</w:t>
      </w:r>
    </w:p>
    <w:p w14:paraId="79BDF2B5">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2DD820CF">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双方发生争议，关于裁判机构的送达文书，接收方存在以下行为之一的，</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仲裁委员会有权依据法律和适时有效的仲裁规则规定进行送达，法律与仲裁规则规定程序完成之日，视为送达成功：</w:t>
      </w:r>
    </w:p>
    <w:p w14:paraId="671C0360">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擅自变更送达地址及信息且未及时通知对方的；</w:t>
      </w:r>
    </w:p>
    <w:p w14:paraId="28FD2D07">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送达地址与信息同工商登记信息不一致且未及时更改的；</w:t>
      </w:r>
    </w:p>
    <w:p w14:paraId="25E61986">
      <w:pPr>
        <w:pStyle w:val="2"/>
        <w:spacing w:beforeLines="0" w:afterLines="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故意不接收</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仲裁委员会送达文书的；</w:t>
      </w:r>
    </w:p>
    <w:p w14:paraId="3554C637">
      <w:pPr>
        <w:numPr>
          <w:ilvl w:val="0"/>
          <w:numId w:val="0"/>
        </w:numPr>
        <w:spacing w:line="360" w:lineRule="auto"/>
        <w:ind w:left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sz w:val="24"/>
          <w:szCs w:val="24"/>
        </w:rPr>
        <w:t>因接收方过错造成无法正常送达的其他行为。</w:t>
      </w:r>
    </w:p>
    <w:p w14:paraId="4BD9B2C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1BA94B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514E79E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0DD3F8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r>
        <w:rPr>
          <w:rFonts w:hint="eastAsia" w:ascii="微软雅黑" w:hAnsi="微软雅黑" w:eastAsia="微软雅黑" w:cs="微软雅黑"/>
          <w:color w:val="000000" w:themeColor="text1"/>
          <w:sz w:val="24"/>
          <w:szCs w:val="24"/>
          <w14:textFill>
            <w14:solidFill>
              <w14:schemeClr w14:val="tx1"/>
            </w14:solidFill>
          </w14:textFill>
        </w:rPr>
        <w:tab/>
      </w: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35E2FC0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6AA30A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471A03F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2AF5A12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C900AE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BE6078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7C96DEB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3F2007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3BD6DEE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46F0031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2CE90C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签订日期： 年</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 日</w:t>
      </w:r>
    </w:p>
    <w:p w14:paraId="30946AEA">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2FA1920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34A1B38">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32229A17">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1110"/>
    </w:sdtPr>
    <w:sdtContent>
      <w:sdt>
        <w:sdtPr>
          <w:id w:val="171357217"/>
        </w:sdtPr>
        <w:sdtContent>
          <w:p w14:paraId="40E6033E">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p w14:paraId="260DCF5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3138F"/>
    <w:multiLevelType w:val="singleLevel"/>
    <w:tmpl w:val="5A43138F"/>
    <w:lvl w:ilvl="0" w:tentative="0">
      <w:start w:val="1"/>
      <w:numFmt w:val="chineseCounting"/>
      <w:suff w:val="nothing"/>
      <w:lvlText w:val="%1、"/>
      <w:lvlJc w:val="left"/>
      <w:pPr>
        <w:ind w:left="0" w:firstLine="420"/>
      </w:pPr>
    </w:lvl>
  </w:abstractNum>
  <w:abstractNum w:abstractNumId="1">
    <w:nsid w:val="5A4313A4"/>
    <w:multiLevelType w:val="singleLevel"/>
    <w:tmpl w:val="5A4313A4"/>
    <w:lvl w:ilvl="0" w:tentative="0">
      <w:start w:val="1"/>
      <w:numFmt w:val="decimal"/>
      <w:suff w:val="nothing"/>
      <w:lvlText w:val="%1．"/>
      <w:lvlJc w:val="left"/>
      <w:pPr>
        <w:ind w:left="0" w:firstLine="400"/>
      </w:pPr>
    </w:lvl>
  </w:abstractNum>
  <w:abstractNum w:abstractNumId="2">
    <w:nsid w:val="5A431441"/>
    <w:multiLevelType w:val="singleLevel"/>
    <w:tmpl w:val="5A431441"/>
    <w:lvl w:ilvl="0" w:tentative="0">
      <w:start w:val="1"/>
      <w:numFmt w:val="decimal"/>
      <w:suff w:val="nothing"/>
      <w:lvlText w:val="%1．"/>
      <w:lvlJc w:val="left"/>
      <w:pPr>
        <w:ind w:left="0" w:firstLine="400"/>
      </w:pPr>
    </w:lvl>
  </w:abstractNum>
  <w:abstractNum w:abstractNumId="3">
    <w:nsid w:val="5A4314EC"/>
    <w:multiLevelType w:val="singleLevel"/>
    <w:tmpl w:val="5A4314EC"/>
    <w:lvl w:ilvl="0" w:tentative="0">
      <w:start w:val="1"/>
      <w:numFmt w:val="decimal"/>
      <w:suff w:val="nothing"/>
      <w:lvlText w:val="（%1）"/>
      <w:lvlJc w:val="left"/>
      <w:pPr>
        <w:ind w:left="0" w:firstLine="420"/>
      </w:pPr>
    </w:lvl>
  </w:abstractNum>
  <w:abstractNum w:abstractNumId="4">
    <w:nsid w:val="5A431522"/>
    <w:multiLevelType w:val="singleLevel"/>
    <w:tmpl w:val="5A431522"/>
    <w:lvl w:ilvl="0" w:tentative="0">
      <w:start w:val="1"/>
      <w:numFmt w:val="decimal"/>
      <w:suff w:val="nothing"/>
      <w:lvlText w:val="（%1）"/>
      <w:lvlJc w:val="left"/>
      <w:pPr>
        <w:ind w:left="6" w:firstLine="420"/>
      </w:pPr>
    </w:lvl>
  </w:abstractNum>
  <w:abstractNum w:abstractNumId="5">
    <w:nsid w:val="5A4315D6"/>
    <w:multiLevelType w:val="singleLevel"/>
    <w:tmpl w:val="5A4315D6"/>
    <w:lvl w:ilvl="0" w:tentative="0">
      <w:start w:val="1"/>
      <w:numFmt w:val="decimal"/>
      <w:suff w:val="nothing"/>
      <w:lvlText w:val="%1．"/>
      <w:lvlJc w:val="left"/>
      <w:pPr>
        <w:ind w:left="0" w:firstLine="400"/>
      </w:pPr>
    </w:lvl>
  </w:abstractNum>
  <w:abstractNum w:abstractNumId="6">
    <w:nsid w:val="5A4316D7"/>
    <w:multiLevelType w:val="singleLevel"/>
    <w:tmpl w:val="5A4316D7"/>
    <w:lvl w:ilvl="0" w:tentative="0">
      <w:start w:val="1"/>
      <w:numFmt w:val="decimal"/>
      <w:suff w:val="nothing"/>
      <w:lvlText w:val="%1．"/>
      <w:lvlJc w:val="left"/>
      <w:pPr>
        <w:ind w:left="26" w:firstLine="400"/>
      </w:pPr>
    </w:lvl>
  </w:abstractNum>
  <w:abstractNum w:abstractNumId="7">
    <w:nsid w:val="5A431728"/>
    <w:multiLevelType w:val="singleLevel"/>
    <w:tmpl w:val="5A431728"/>
    <w:lvl w:ilvl="0" w:tentative="0">
      <w:start w:val="1"/>
      <w:numFmt w:val="decimal"/>
      <w:suff w:val="nothing"/>
      <w:lvlText w:val="%1．"/>
      <w:lvlJc w:val="left"/>
      <w:pPr>
        <w:ind w:left="0" w:firstLine="400"/>
      </w:pPr>
    </w:lvl>
  </w:abstractNum>
  <w:abstractNum w:abstractNumId="8">
    <w:nsid w:val="5A431762"/>
    <w:multiLevelType w:val="singleLevel"/>
    <w:tmpl w:val="5A431762"/>
    <w:lvl w:ilvl="0" w:tentative="0">
      <w:start w:val="1"/>
      <w:numFmt w:val="decimal"/>
      <w:suff w:val="nothing"/>
      <w:lvlText w:val="（%1）"/>
      <w:lvlJc w:val="left"/>
      <w:pPr>
        <w:ind w:left="0" w:firstLine="420"/>
      </w:p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 w:numId="4">
    <w:abstractNumId w:val="3"/>
    <w:lvlOverride w:ilvl="0">
      <w:startOverride w:val="1"/>
    </w:lvlOverride>
  </w:num>
  <w:num w:numId="5">
    <w:abstractNumId w:val="4"/>
    <w:lvlOverride w:ilvl="0">
      <w:startOverride w:val="1"/>
    </w:lvlOverride>
  </w:num>
  <w:num w:numId="6">
    <w:abstractNumId w:val="5"/>
    <w:lvlOverride w:ilvl="0">
      <w:startOverride w:val="1"/>
    </w:lvlOverride>
  </w:num>
  <w:num w:numId="7">
    <w:abstractNumId w:val="6"/>
    <w:lvlOverride w:ilvl="0">
      <w:startOverride w:val="1"/>
    </w:lvlOverride>
  </w:num>
  <w:num w:numId="8">
    <w:abstractNumId w:val="7"/>
    <w:lvlOverride w:ilvl="0">
      <w:startOverride w:val="1"/>
    </w:lvlOverride>
  </w:num>
  <w:num w:numId="9">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E885335"/>
    <w:rsid w:val="43D60BE4"/>
    <w:rsid w:val="532D4A40"/>
    <w:rsid w:val="60EF64E6"/>
    <w:rsid w:val="78D61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bCs/>
      <w:kern w:val="0"/>
      <w:sz w:val="24"/>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beforeLines="0" w:afterLines="0"/>
    </w:pPr>
    <w:rPr>
      <w:rFonts w:hint="eastAsia" w:ascii="宋体" w:hAnsi="Courier New" w:eastAsia="宋体" w:cs="Courier New"/>
      <w:sz w:val="21"/>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uiPriority w:val="0"/>
    <w:pPr>
      <w:pBdr>
        <w:bottom w:val="single" w:color="auto" w:sz="6" w:space="1"/>
      </w:pBdr>
      <w:tabs>
        <w:tab w:val="center" w:pos="4153"/>
        <w:tab w:val="right" w:pos="8306"/>
      </w:tabs>
      <w:snapToGrid w:val="0"/>
      <w:spacing w:beforeLines="0" w:afterLines="0"/>
      <w:jc w:val="center"/>
    </w:pPr>
    <w:rPr>
      <w:rFonts w:hint="default"/>
      <w:sz w:val="18"/>
      <w:szCs w:val="24"/>
    </w:rPr>
  </w:style>
  <w:style w:type="character" w:styleId="7">
    <w:name w:val="page number"/>
    <w:unhideWhenUsed/>
    <w:qFormat/>
    <w:uiPriority w:val="0"/>
    <w:rPr>
      <w:rFonts w:hint="default"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3333</Words>
  <Characters>3441</Characters>
  <Lines>0</Lines>
  <Paragraphs>0</Paragraphs>
  <TotalTime>1</TotalTime>
  <ScaleCrop>false</ScaleCrop>
  <LinksUpToDate>false</LinksUpToDate>
  <CharactersWithSpaces>3748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2021-05-31T07:35:00Z</dcterms:created>
  <dc:creator>真宇律师</dc:creator>
  <cp:lastModifiedBy>豪</cp:lastModifiedBy>
  <dcterms:modified xsi:type="dcterms:W3CDTF">2026-03-22T07:50:39Z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E7E3065DE6EA4EA9B32EF2E884463C52</vt:lpwstr>
  </property>
  <property fmtid="{D5CDD505-2E9C-101B-9397-08002B2CF9AE}" pid="4" name="KSOTemplateDocerSaveRecord">
    <vt:lpwstr>eyJoZGlkIjoiNTg0MzMyNGJiMDEzODc5ODNlMGVjODViOWRkZjg1MDgiLCJ1c2VySWQiOiIxMjc2Mzc3NjgxIn0=</vt:lpwstr>
  </property>
</Properties>
</file>