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666FF">
      <w:pPr>
        <w:pStyle w:val="4"/>
        <w:rPr>
          <w:rFonts w:hint="eastAsia" w:ascii="微软雅黑" w:hAnsi="微软雅黑" w:eastAsia="微软雅黑" w:cs="微软雅黑"/>
          <w:sz w:val="24"/>
          <w:szCs w:val="24"/>
        </w:rPr>
      </w:pPr>
      <w:bookmarkStart w:id="4" w:name="_GoBack"/>
      <w:r>
        <w:rPr>
          <w:rFonts w:hint="eastAsia" w:ascii="微软雅黑" w:hAnsi="微软雅黑" w:eastAsia="微软雅黑" w:cs="微软雅黑"/>
          <w:sz w:val="24"/>
          <w:szCs w:val="24"/>
        </w:rPr>
        <w:t>公司商业秘密保护合同书</w:t>
      </w:r>
    </w:p>
    <w:p w14:paraId="5EA5D3D9">
      <w:pPr>
        <w:wordWrap w:val="0"/>
        <w:spacing w:before="312" w:beforeLines="100" w:after="312" w:afterLines="100" w:line="360" w:lineRule="auto"/>
        <w:ind w:firstLine="4080" w:firstLineChars="1700"/>
        <w:jc w:val="right"/>
        <w:rPr>
          <w:rFonts w:hint="eastAsia" w:ascii="微软雅黑" w:hAnsi="微软雅黑" w:eastAsia="微软雅黑" w:cs="微软雅黑"/>
          <w:sz w:val="24"/>
          <w:szCs w:val="24"/>
        </w:rPr>
      </w:pPr>
      <w:bookmarkStart w:id="0" w:name="_Hlk512328677"/>
      <w:r>
        <w:rPr>
          <w:rFonts w:hint="eastAsia" w:ascii="微软雅黑" w:hAnsi="微软雅黑" w:eastAsia="微软雅黑" w:cs="微软雅黑"/>
          <w:sz w:val="24"/>
          <w:szCs w:val="24"/>
        </w:rPr>
        <w:t>合同编号：</w:t>
      </w:r>
      <w:r>
        <w:rPr>
          <w:rFonts w:hint="eastAsia" w:ascii="微软雅黑" w:hAnsi="微软雅黑" w:eastAsia="微软雅黑" w:cs="微软雅黑"/>
          <w:sz w:val="24"/>
          <w:szCs w:val="24"/>
          <w:u w:val="single"/>
        </w:rPr>
        <w:t xml:space="preserve">            </w:t>
      </w:r>
    </w:p>
    <w:bookmarkEnd w:id="0"/>
    <w:p w14:paraId="799B60AF">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bookmarkStart w:id="1" w:name="_Hlk512328854"/>
      <w:r>
        <w:rPr>
          <w:rFonts w:hint="eastAsia" w:ascii="微软雅黑" w:hAnsi="微软雅黑" w:eastAsia="微软雅黑" w:cs="微软雅黑"/>
          <w:color w:val="000000"/>
          <w:kern w:val="0"/>
          <w:sz w:val="24"/>
          <w:szCs w:val="24"/>
        </w:rPr>
        <w:t>甲方（企业）：</w:t>
      </w:r>
      <w:r>
        <w:rPr>
          <w:rFonts w:hint="eastAsia" w:ascii="微软雅黑" w:hAnsi="微软雅黑" w:eastAsia="微软雅黑" w:cs="微软雅黑"/>
          <w:color w:val="000000"/>
          <w:kern w:val="0"/>
          <w:sz w:val="24"/>
          <w:szCs w:val="24"/>
          <w:u w:val="single"/>
        </w:rPr>
        <w:t xml:space="preserve">                                </w:t>
      </w:r>
    </w:p>
    <w:p w14:paraId="4B094860">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注册地址：</w:t>
      </w:r>
      <w:r>
        <w:rPr>
          <w:rFonts w:hint="eastAsia" w:ascii="微软雅黑" w:hAnsi="微软雅黑" w:eastAsia="微软雅黑" w:cs="微软雅黑"/>
          <w:color w:val="000000"/>
          <w:kern w:val="0"/>
          <w:sz w:val="24"/>
          <w:szCs w:val="24"/>
          <w:u w:val="single"/>
        </w:rPr>
        <w:t xml:space="preserve">                                    </w:t>
      </w:r>
    </w:p>
    <w:p w14:paraId="7DE6B580">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邮编：</w:t>
      </w:r>
      <w:r>
        <w:rPr>
          <w:rFonts w:hint="eastAsia" w:ascii="微软雅黑" w:hAnsi="微软雅黑" w:eastAsia="微软雅黑" w:cs="微软雅黑"/>
          <w:color w:val="000000"/>
          <w:kern w:val="0"/>
          <w:sz w:val="24"/>
          <w:szCs w:val="24"/>
          <w:u w:val="single"/>
        </w:rPr>
        <w:t xml:space="preserve">                                        </w:t>
      </w:r>
    </w:p>
    <w:p w14:paraId="6F5684C4">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组织机构代码：</w:t>
      </w:r>
      <w:r>
        <w:rPr>
          <w:rFonts w:hint="eastAsia" w:ascii="微软雅黑" w:hAnsi="微软雅黑" w:eastAsia="微软雅黑" w:cs="微软雅黑"/>
          <w:color w:val="000000"/>
          <w:kern w:val="0"/>
          <w:sz w:val="24"/>
          <w:szCs w:val="24"/>
          <w:u w:val="single"/>
        </w:rPr>
        <w:t xml:space="preserve">                                </w:t>
      </w:r>
    </w:p>
    <w:p w14:paraId="61584A7E">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w:t>
      </w:r>
      <w:r>
        <w:rPr>
          <w:rFonts w:hint="eastAsia" w:ascii="微软雅黑" w:hAnsi="微软雅黑" w:eastAsia="微软雅黑" w:cs="微软雅黑"/>
          <w:color w:val="000000"/>
          <w:kern w:val="0"/>
          <w:sz w:val="24"/>
          <w:szCs w:val="24"/>
          <w:u w:val="single"/>
        </w:rPr>
        <w:t xml:space="preserve">                                  </w:t>
      </w:r>
    </w:p>
    <w:p w14:paraId="5E806C7B">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联系电话：</w:t>
      </w:r>
      <w:r>
        <w:rPr>
          <w:rFonts w:hint="eastAsia" w:ascii="微软雅黑" w:hAnsi="微软雅黑" w:eastAsia="微软雅黑" w:cs="微软雅黑"/>
          <w:color w:val="000000"/>
          <w:kern w:val="0"/>
          <w:sz w:val="24"/>
          <w:szCs w:val="24"/>
          <w:u w:val="single"/>
        </w:rPr>
        <w:t xml:space="preserve">                                    </w:t>
      </w:r>
    </w:p>
    <w:p w14:paraId="189D0DE9">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委托代理人：</w:t>
      </w:r>
      <w:r>
        <w:rPr>
          <w:rFonts w:hint="eastAsia" w:ascii="微软雅黑" w:hAnsi="微软雅黑" w:eastAsia="微软雅黑" w:cs="微软雅黑"/>
          <w:color w:val="000000"/>
          <w:kern w:val="0"/>
          <w:sz w:val="24"/>
          <w:szCs w:val="24"/>
          <w:u w:val="single"/>
        </w:rPr>
        <w:t xml:space="preserve">                                  </w:t>
      </w:r>
    </w:p>
    <w:p w14:paraId="1D1C4A27">
      <w:pPr>
        <w:widowControl/>
        <w:shd w:val="clear" w:color="auto" w:fill="FFFFFF" w:themeFill="background1"/>
        <w:spacing w:after="312" w:afterLines="100"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联系电话：</w:t>
      </w:r>
      <w:r>
        <w:rPr>
          <w:rFonts w:hint="eastAsia" w:ascii="微软雅黑" w:hAnsi="微软雅黑" w:eastAsia="微软雅黑" w:cs="微软雅黑"/>
          <w:color w:val="000000"/>
          <w:kern w:val="0"/>
          <w:sz w:val="24"/>
          <w:szCs w:val="24"/>
          <w:u w:val="single"/>
        </w:rPr>
        <w:t xml:space="preserve">                                    </w:t>
      </w:r>
    </w:p>
    <w:bookmarkEnd w:id="1"/>
    <w:p w14:paraId="41778C16">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乙方（员工）：</w:t>
      </w:r>
      <w:r>
        <w:rPr>
          <w:rFonts w:hint="eastAsia" w:ascii="微软雅黑" w:hAnsi="微软雅黑" w:eastAsia="微软雅黑" w:cs="微软雅黑"/>
          <w:color w:val="000000"/>
          <w:kern w:val="0"/>
          <w:sz w:val="24"/>
          <w:szCs w:val="24"/>
          <w:u w:val="single"/>
        </w:rPr>
        <w:t xml:space="preserve">                                </w:t>
      </w:r>
    </w:p>
    <w:p w14:paraId="7E55F9CC">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身份证：</w:t>
      </w:r>
      <w:r>
        <w:rPr>
          <w:rFonts w:hint="eastAsia" w:ascii="微软雅黑" w:hAnsi="微软雅黑" w:eastAsia="微软雅黑" w:cs="微软雅黑"/>
          <w:color w:val="000000"/>
          <w:kern w:val="0"/>
          <w:sz w:val="24"/>
          <w:szCs w:val="24"/>
          <w:u w:val="single"/>
        </w:rPr>
        <w:t xml:space="preserve">                                      </w:t>
      </w:r>
    </w:p>
    <w:p w14:paraId="3C9379E3">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国籍：</w:t>
      </w:r>
      <w:r>
        <w:rPr>
          <w:rFonts w:hint="eastAsia" w:ascii="微软雅黑" w:hAnsi="微软雅黑" w:eastAsia="微软雅黑" w:cs="微软雅黑"/>
          <w:color w:val="000000"/>
          <w:kern w:val="0"/>
          <w:sz w:val="24"/>
          <w:szCs w:val="24"/>
          <w:u w:val="single"/>
        </w:rPr>
        <w:t xml:space="preserve">                                        </w:t>
      </w:r>
    </w:p>
    <w:p w14:paraId="389B337B">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通讯地址：</w:t>
      </w:r>
      <w:r>
        <w:rPr>
          <w:rFonts w:hint="eastAsia" w:ascii="微软雅黑" w:hAnsi="微软雅黑" w:eastAsia="微软雅黑" w:cs="微软雅黑"/>
          <w:color w:val="000000"/>
          <w:kern w:val="0"/>
          <w:sz w:val="24"/>
          <w:szCs w:val="24"/>
          <w:u w:val="single"/>
        </w:rPr>
        <w:t xml:space="preserve">                                    </w:t>
      </w:r>
    </w:p>
    <w:p w14:paraId="18E199F8">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邮编：</w:t>
      </w:r>
      <w:r>
        <w:rPr>
          <w:rFonts w:hint="eastAsia" w:ascii="微软雅黑" w:hAnsi="微软雅黑" w:eastAsia="微软雅黑" w:cs="微软雅黑"/>
          <w:color w:val="000000"/>
          <w:kern w:val="0"/>
          <w:sz w:val="24"/>
          <w:szCs w:val="24"/>
          <w:u w:val="single"/>
        </w:rPr>
        <w:t xml:space="preserve">                                        </w:t>
      </w:r>
    </w:p>
    <w:p w14:paraId="13262ED9">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联系电话：</w:t>
      </w:r>
      <w:r>
        <w:rPr>
          <w:rFonts w:hint="eastAsia" w:ascii="微软雅黑" w:hAnsi="微软雅黑" w:eastAsia="微软雅黑" w:cs="微软雅黑"/>
          <w:color w:val="000000"/>
          <w:kern w:val="0"/>
          <w:sz w:val="24"/>
          <w:szCs w:val="24"/>
          <w:u w:val="single"/>
        </w:rPr>
        <w:t xml:space="preserve">                                    </w:t>
      </w:r>
    </w:p>
    <w:p w14:paraId="470CA76F">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代理人：</w:t>
      </w:r>
      <w:r>
        <w:rPr>
          <w:rFonts w:hint="eastAsia" w:ascii="微软雅黑" w:hAnsi="微软雅黑" w:eastAsia="微软雅黑" w:cs="微软雅黑"/>
          <w:color w:val="000000"/>
          <w:kern w:val="0"/>
          <w:sz w:val="24"/>
          <w:szCs w:val="24"/>
          <w:u w:val="single"/>
        </w:rPr>
        <w:t xml:space="preserve">                                      </w:t>
      </w:r>
    </w:p>
    <w:p w14:paraId="2ABEFA8A">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国籍：</w:t>
      </w:r>
      <w:r>
        <w:rPr>
          <w:rFonts w:hint="eastAsia" w:ascii="微软雅黑" w:hAnsi="微软雅黑" w:eastAsia="微软雅黑" w:cs="微软雅黑"/>
          <w:color w:val="000000"/>
          <w:kern w:val="0"/>
          <w:sz w:val="24"/>
          <w:szCs w:val="24"/>
          <w:u w:val="single"/>
        </w:rPr>
        <w:t xml:space="preserve">                                        </w:t>
      </w:r>
    </w:p>
    <w:p w14:paraId="37E2E17B">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地址：</w:t>
      </w:r>
      <w:r>
        <w:rPr>
          <w:rFonts w:hint="eastAsia" w:ascii="微软雅黑" w:hAnsi="微软雅黑" w:eastAsia="微软雅黑" w:cs="微软雅黑"/>
          <w:color w:val="000000"/>
          <w:kern w:val="0"/>
          <w:sz w:val="24"/>
          <w:szCs w:val="24"/>
          <w:u w:val="single"/>
        </w:rPr>
        <w:t xml:space="preserve">                                        </w:t>
      </w:r>
    </w:p>
    <w:p w14:paraId="5313ABE5">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邮编：</w:t>
      </w:r>
      <w:r>
        <w:rPr>
          <w:rFonts w:hint="eastAsia" w:ascii="微软雅黑" w:hAnsi="微软雅黑" w:eastAsia="微软雅黑" w:cs="微软雅黑"/>
          <w:color w:val="000000"/>
          <w:kern w:val="0"/>
          <w:sz w:val="24"/>
          <w:szCs w:val="24"/>
          <w:u w:val="single"/>
        </w:rPr>
        <w:t xml:space="preserve">                                        </w:t>
      </w:r>
    </w:p>
    <w:p w14:paraId="1F80687B">
      <w:pPr>
        <w:widowControl/>
        <w:shd w:val="clear" w:color="auto" w:fill="FFFFFF" w:themeFill="background1"/>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联系电话：</w:t>
      </w:r>
      <w:r>
        <w:rPr>
          <w:rFonts w:hint="eastAsia" w:ascii="微软雅黑" w:hAnsi="微软雅黑" w:eastAsia="微软雅黑" w:cs="微软雅黑"/>
          <w:color w:val="000000"/>
          <w:kern w:val="0"/>
          <w:sz w:val="24"/>
          <w:szCs w:val="24"/>
          <w:u w:val="single"/>
        </w:rPr>
        <w:t xml:space="preserve">                                    </w:t>
      </w:r>
    </w:p>
    <w:p w14:paraId="4F316693">
      <w:pPr>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鉴于甲方（包括甲方的关联企业，下同）是本合同所列商业秘密的所有者，乙方在甲方任职，双方就商业秘密保护事宜签订本合同。</w:t>
      </w:r>
    </w:p>
    <w:p w14:paraId="4FBCA0A8">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乙方承诺</w:t>
      </w:r>
    </w:p>
    <w:p w14:paraId="29F540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1．乙方在签订本合同前未对任何第三人承担有关商业秘密的保密、不使用义务，也未承担任何竞业限制义务，因而乙方在甲方任何知识的使用，与第三人无关。否则，因此而引起纠纷，一切后果由乙方自负。</w:t>
      </w:r>
    </w:p>
    <w:p w14:paraId="4463EC9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2．乙方承诺遵守国家和甲方制定的有关商业秘密保护的规定，对知悉的甲方和甲方关联企业的任何商业秘密（以下统称为甲方商业秘密），承担保密义务。</w:t>
      </w:r>
    </w:p>
    <w:p w14:paraId="467F4DF6">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商业秘密的内容和范围</w:t>
      </w:r>
    </w:p>
    <w:p w14:paraId="0E84BC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本合同中的商业秘密是指：不为公众所知悉、能为甲方带来经济利益、具有实用性并经甲方采取保密措施和或者标明密级的技术秘密和经营秘密。这些商业秘密包括：</w:t>
      </w:r>
    </w:p>
    <w:p w14:paraId="119F15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1．网络技术、工艺、流程、数据、配方、诀窍。</w:t>
      </w:r>
    </w:p>
    <w:p w14:paraId="21C1270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2．程序研究开发计划、实施进度及其结果。</w:t>
      </w:r>
    </w:p>
    <w:p w14:paraId="67C2237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3．主要用户名单及联系方式。</w:t>
      </w:r>
    </w:p>
    <w:p w14:paraId="45DE2E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4．数据库。</w:t>
      </w:r>
    </w:p>
    <w:p w14:paraId="098DAFB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5．尚未实施或公开的经营策划方案、重大经营决策等。</w:t>
      </w:r>
    </w:p>
    <w:p w14:paraId="49061DC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6．未公开的财务信息和人力资源信息。</w:t>
      </w:r>
    </w:p>
    <w:p w14:paraId="6C25D9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7．与其他企业协作、投资类业务有关的信息。</w:t>
      </w:r>
    </w:p>
    <w:p w14:paraId="60D69A6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8．与职务活动有关的在保护期内的、未公开的各类技术成果、设计图和设计方案、计算机软件、文字作品等职务成果。</w:t>
      </w:r>
    </w:p>
    <w:p w14:paraId="4B43949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9．甲方明文规定的应该保密的其它信息。</w:t>
      </w:r>
    </w:p>
    <w:p w14:paraId="032FAC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甲方有权根据生产、经营情况调整或确定需保密的商业秘密内容和密级，但属乙方接触或知悉的部分应书面通知乙方。</w:t>
      </w:r>
    </w:p>
    <w:p w14:paraId="473864B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保密期限</w:t>
      </w:r>
    </w:p>
    <w:p w14:paraId="418C501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乙方对商业秘密的保密义务，不但在劳动合同有效期内有效，且无论何种原因，乙方离职后在一定限期内，均应承担保密义务，该期限从劳动合同终止或解除后次年的元月1日起计算，分别为：</w:t>
      </w:r>
    </w:p>
    <w:p w14:paraId="2613BA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1．标明为绝密（或AAA）级的，期限为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p>
    <w:p w14:paraId="634940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2．标明为机密（或AA）级的，期限为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p>
    <w:p w14:paraId="7654FAE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3．标明为秘密（或A）级的，期限为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p>
    <w:p w14:paraId="0D6A31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在上述期限内，乙方不得公开、直接或间接使用、劝诱或帮助他人使用甲方的商业秘密，但甲方自己公开后，乙方不再承担保密义务。</w:t>
      </w:r>
    </w:p>
    <w:p w14:paraId="75FD1BA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甲方的权利义务</w:t>
      </w:r>
    </w:p>
    <w:p w14:paraId="22B0EEB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1．制订有关商业秘密的规章制度，建立岗位责任制，使商业秘密管理制度化。</w:t>
      </w:r>
    </w:p>
    <w:p w14:paraId="3BE50BC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确定需保密信息的密级和保密期限，采取合理方法，对商业秘密资料、文件的性质、期限及容许接触的范围进行标记，并根据实际情况及时调整密级和保密期限，变更情况应及时在相关文件中标明或通知乙方。</w:t>
      </w:r>
    </w:p>
    <w:p w14:paraId="3099BE0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3．在乙方权限内提供乙方工作需要时查阅保密资料的方便。</w:t>
      </w:r>
    </w:p>
    <w:p w14:paraId="29A6485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乙方的权利义务</w:t>
      </w:r>
    </w:p>
    <w:p w14:paraId="1E8EF37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1．按照甲方规定和本合同约定使用并保护甲方的商业秘密。</w:t>
      </w:r>
    </w:p>
    <w:p w14:paraId="3CD43EA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2．除因工作需要且得到甲方批准，或在业务需要的范围内并采取妥善保护措施外，不得为下列行为：</w:t>
      </w:r>
    </w:p>
    <w:p w14:paraId="791D695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（1）使他人获得、使用或计划使用这些商业秘密；</w:t>
      </w:r>
    </w:p>
    <w:p w14:paraId="52DBFC8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（2）直接或间接向甲方内部无关人员泄露；</w:t>
      </w:r>
    </w:p>
    <w:p w14:paraId="1509989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（3）为自己或他人利益使用或计划使用；</w:t>
      </w:r>
    </w:p>
    <w:p w14:paraId="7D22646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（4）复制或披露包含甲方商业秘密的文件或文件副本；</w:t>
      </w:r>
    </w:p>
    <w:p w14:paraId="1A5F39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（5）对因工作所保管、接触的甲方客户提交的文件应妥善对保管，未经许可不得超出工作范围使用或披露。</w:t>
      </w:r>
    </w:p>
    <w:p w14:paraId="6BCBF9A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3．虽未书面加注保密标识，但属于本合同所列商业秘密范畴的，乙方仍对其负有保密义务。</w:t>
      </w:r>
    </w:p>
    <w:p w14:paraId="48B6DC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4．甲方商业秘密的部分或个别要素被公开，但其他部分或整体未被公知且仍具有价值性时，乙方对未公开部分仍应承担保护义务。</w:t>
      </w:r>
    </w:p>
    <w:p w14:paraId="3F9DB7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5．乙方因职务创造和构思的有关技术秘密和经营秘密，归甲方所有。乙方做出职务成果时，应迅速向甲方汇报，并向甲方提供研究、创造的全部的书面材料。</w:t>
      </w:r>
    </w:p>
    <w:p w14:paraId="7F900FC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乙方在与甲方劳动关系终止之日起的1年内，如继续从事与在甲方相同或类似的工作的，因此做出的知识产权或其他智力成果归甲方所有，乙方应及时向甲方通报并向甲方提供完整的研发资料。</w:t>
      </w:r>
    </w:p>
    <w:p w14:paraId="51329AE2">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  竞业限制</w:t>
      </w:r>
    </w:p>
    <w:p w14:paraId="4AFA42F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1．乙方承诺：在中国行政区域内，自离职之日起至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年期满的当年12月31日止，不直接或间接从事乙方在甲方最后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个月内的工作岗位相同或基本相同的工作即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，或组建、参与组建公司及以其他方式参与对甲方的竞争。</w:t>
      </w:r>
    </w:p>
    <w:p w14:paraId="67549B7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2．乙方离职后，不得直接、间接、或帮助他人劝诱甲方企业内掌握商业秘密的职工或关键岗位上的职工离开甲方单位。</w:t>
      </w:r>
    </w:p>
    <w:p w14:paraId="66D8004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3．补偿费</w:t>
      </w:r>
    </w:p>
    <w:p w14:paraId="642360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在第1款的竞业限制期间，乙方遵守竞业限制及本合同约定的商业秘密保护义务，并经甲方核实后，结合乙方在甲方工作期间的工资收入，双方同意，甲方每年向乙方支付补偿费人民币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），该款于本条第1款约定期限届满之日后的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日内支付。</w:t>
      </w:r>
    </w:p>
    <w:p w14:paraId="6299FE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4．在竞业限制期间，乙方工作单位或岗位发生变动之日起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个工作日内，书面通知甲方。</w:t>
      </w:r>
    </w:p>
    <w:p w14:paraId="17D5B0B3">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  资料归还</w:t>
      </w:r>
    </w:p>
    <w:p w14:paraId="6FBFEEE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乙方无论何种原因离职，应该退还所有属于甲方的资料，如设计、数据、图纸、模型、实验记录、工作手册等。个人工作日志中如含有甲方商业秘密的，亦应退还或销毁。</w:t>
      </w:r>
    </w:p>
    <w:p w14:paraId="1BCB0B1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  违约责任</w:t>
      </w:r>
    </w:p>
    <w:p w14:paraId="1915B15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1．乙方违反本合同规定，在劳动合同期内，甲方可依甲方管理办法对其进行处罚，直至辞退、开除。给甲方造成损失的，参照下列规定追究其赔偿责任。</w:t>
      </w:r>
    </w:p>
    <w:p w14:paraId="363B7D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2．违反本合同规定，乙方因此获得的所有收入应上缴甲方，并按该收入的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倍向甲方承担赔偿责任。未获取收入或收入无法确定的，赔偿金额为乙方在甲方工作期间所获得的所有收入的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B903FAA">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  纠纷解决方式</w:t>
      </w:r>
    </w:p>
    <w:p w14:paraId="088FFD6F">
      <w:pPr>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913769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sz w:val="24"/>
          <w:szCs w:val="24"/>
        </w:rPr>
        <w:t xml:space="preserve">第十条  </w:t>
      </w:r>
      <w:r>
        <w:rPr>
          <w:rFonts w:hint="eastAsia" w:ascii="微软雅黑" w:hAnsi="微软雅黑" w:eastAsia="微软雅黑" w:cs="微软雅黑"/>
          <w:b/>
          <w:sz w:val="24"/>
          <w:szCs w:val="24"/>
          <w:lang w:val="en-US" w:eastAsia="zh-CN"/>
        </w:rPr>
        <w:t>送达地址以及送达条款：</w:t>
      </w:r>
    </w:p>
    <w:p w14:paraId="283A4CA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1.送达地址以及方式</w:t>
      </w:r>
    </w:p>
    <w:p w14:paraId="1577249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w:t>
      </w:r>
    </w:p>
    <w:p w14:paraId="79BEA1F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甲方确认送达地址如下：</w:t>
      </w:r>
    </w:p>
    <w:p w14:paraId="75073EB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18F8BB9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4AC45E5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4F4D145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7296F89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7EDBAA0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1864573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22141F4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310282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34D1FC3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乙方确认送达地址如下：</w:t>
      </w:r>
    </w:p>
    <w:p w14:paraId="70795AC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25CFDCC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1469BD3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0683E2D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5B28BB3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16CC730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4D79A8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1032EAA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73F55AC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6DA178C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w:t>
      </w:r>
    </w:p>
    <w:p w14:paraId="22612AF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37D9A23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直接送达：将文件送至对方指定的送达地址，视为已送达；</w:t>
      </w:r>
    </w:p>
    <w:p w14:paraId="55945A2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邮寄送达：将文件通过挂号信、特快专递等方式寄至对方指定的送达地址，以邮戳日期为准，视为已送达；</w:t>
      </w:r>
    </w:p>
    <w:p w14:paraId="08A9489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电子送达：将文件通过电子邮件、短信、微信等方式发送至对方指定的电子邮箱、手机号码等，发送成功即视为已送达。</w:t>
      </w:r>
    </w:p>
    <w:p w14:paraId="7118DBB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2.送达条款</w:t>
      </w:r>
    </w:p>
    <w:p w14:paraId="41E4980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本送达条款适用于合同履行履行期间及合同纠纷解决过程中的所有文件送达。</w:t>
      </w:r>
    </w:p>
    <w:p w14:paraId="20C4891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8040AA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双方在合同履行过程中由双方共同明示或默示确认的合同约定外的送达地址和联系方式不影响送达效力。</w:t>
      </w:r>
    </w:p>
    <w:p w14:paraId="2C4BD33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7012918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5936E04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6860CFE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擅自变更送达地址及信息且未及时通知对方的；</w:t>
      </w:r>
    </w:p>
    <w:p w14:paraId="0B42DF7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送达地址与信息同工商登记信息不一致且未及时更改的；</w:t>
      </w:r>
    </w:p>
    <w:p w14:paraId="2617C6C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故意不接收蚌埠仲裁委员会送达文书的；</w:t>
      </w:r>
    </w:p>
    <w:p w14:paraId="34D5063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sz w:val="24"/>
          <w:szCs w:val="24"/>
          <w:lang w:val="en-US" w:eastAsia="zh-CN"/>
        </w:rPr>
        <w:t>因接收方过错造成无法正常送达的其他行为。</w:t>
      </w:r>
    </w:p>
    <w:p w14:paraId="723FD1BB">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eastAsia="zh-CN"/>
        </w:rPr>
        <w:t>一</w:t>
      </w:r>
      <w:r>
        <w:rPr>
          <w:rFonts w:hint="eastAsia" w:ascii="微软雅黑" w:hAnsi="微软雅黑" w:eastAsia="微软雅黑" w:cs="微软雅黑"/>
          <w:b/>
          <w:sz w:val="24"/>
          <w:szCs w:val="24"/>
        </w:rPr>
        <w:t>条  生效条件</w:t>
      </w:r>
    </w:p>
    <w:p w14:paraId="4E61C87D">
      <w:pPr>
        <w:spacing w:line="360" w:lineRule="auto"/>
        <w:ind w:firstLine="480" w:firstLineChars="200"/>
        <w:rPr>
          <w:rFonts w:hint="eastAsia" w:ascii="微软雅黑" w:hAnsi="微软雅黑" w:eastAsia="微软雅黑" w:cs="微软雅黑"/>
          <w:sz w:val="24"/>
          <w:szCs w:val="24"/>
        </w:rPr>
      </w:pPr>
      <w:bookmarkStart w:id="2" w:name="_Hlk512329624"/>
      <w:r>
        <w:rPr>
          <w:rFonts w:hint="eastAsia" w:ascii="微软雅黑" w:hAnsi="微软雅黑" w:eastAsia="微软雅黑" w:cs="微软雅黑"/>
          <w:sz w:val="24"/>
          <w:szCs w:val="24"/>
        </w:rPr>
        <w:t>1.本合同自双方的法定代表人或其授权代理人在本合同上签字并加盖公章之日起生效。各方应在合同正本上加盖骑缝章。</w:t>
      </w:r>
    </w:p>
    <w:p w14:paraId="125C0D1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2.本合同及其补充合同内空白区域内手写文字与打印文字效力相同。</w:t>
      </w:r>
    </w:p>
    <w:p w14:paraId="0FC82D34">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3.本合同—式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份，具有相同法律效力。各方当事人各执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份，其他用于履行相关法律手续。</w:t>
      </w:r>
    </w:p>
    <w:bookmarkEnd w:id="2"/>
    <w:tbl>
      <w:tblPr>
        <w:tblStyle w:val="6"/>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14:paraId="5AF86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190706CE">
            <w:pPr>
              <w:autoSpaceDE w:val="0"/>
              <w:spacing w:line="360" w:lineRule="auto"/>
              <w:ind w:firstLine="480"/>
              <w:jc w:val="left"/>
              <w:rPr>
                <w:rFonts w:hint="eastAsia" w:ascii="微软雅黑" w:hAnsi="微软雅黑" w:eastAsia="微软雅黑" w:cs="微软雅黑"/>
                <w:kern w:val="0"/>
                <w:sz w:val="24"/>
                <w:szCs w:val="24"/>
              </w:rPr>
            </w:pPr>
            <w:bookmarkStart w:id="3" w:name="_Hlk512329904"/>
            <w:r>
              <w:rPr>
                <w:rFonts w:hint="eastAsia" w:ascii="微软雅黑" w:hAnsi="微软雅黑" w:eastAsia="微软雅黑" w:cs="微软雅黑"/>
                <w:kern w:val="0"/>
                <w:sz w:val="24"/>
                <w:szCs w:val="24"/>
              </w:rPr>
              <w:t xml:space="preserve">甲方（盖章）：                   </w:t>
            </w:r>
          </w:p>
        </w:tc>
        <w:tc>
          <w:tcPr>
            <w:tcW w:w="4261" w:type="dxa"/>
          </w:tcPr>
          <w:p w14:paraId="6B85C2D9">
            <w:pPr>
              <w:autoSpaceDE w:val="0"/>
              <w:spacing w:line="360" w:lineRule="auto"/>
              <w:ind w:firstLine="48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乙方（盖章）：                   </w:t>
            </w:r>
          </w:p>
        </w:tc>
      </w:tr>
      <w:tr w14:paraId="328C6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1053E373">
            <w:pPr>
              <w:autoSpaceDE w:val="0"/>
              <w:spacing w:line="360" w:lineRule="auto"/>
              <w:ind w:firstLine="48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授权代表（签字）：</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261" w:type="dxa"/>
          </w:tcPr>
          <w:p w14:paraId="3B369415">
            <w:pPr>
              <w:autoSpaceDE w:val="0"/>
              <w:spacing w:line="360" w:lineRule="auto"/>
              <w:ind w:firstLine="48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授权代表（签字）：</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r>
      <w:tr w14:paraId="29A91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0B45E821">
            <w:pPr>
              <w:autoSpaceDE w:val="0"/>
              <w:spacing w:line="360" w:lineRule="auto"/>
              <w:ind w:firstLine="48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日        </w:t>
            </w:r>
          </w:p>
        </w:tc>
        <w:tc>
          <w:tcPr>
            <w:tcW w:w="4261" w:type="dxa"/>
          </w:tcPr>
          <w:p w14:paraId="79FA7224">
            <w:pPr>
              <w:autoSpaceDE w:val="0"/>
              <w:spacing w:line="360" w:lineRule="auto"/>
              <w:ind w:firstLine="48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日         </w:t>
            </w:r>
          </w:p>
        </w:tc>
      </w:tr>
      <w:tr w14:paraId="2DC7A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7F14019">
            <w:pPr>
              <w:autoSpaceDE w:val="0"/>
              <w:spacing w:after="312" w:afterLines="100" w:line="360" w:lineRule="auto"/>
              <w:ind w:firstLine="48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261" w:type="dxa"/>
          </w:tcPr>
          <w:p w14:paraId="2573849C">
            <w:pPr>
              <w:autoSpaceDE w:val="0"/>
              <w:spacing w:after="312" w:afterLines="100" w:line="360" w:lineRule="auto"/>
              <w:ind w:firstLine="48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r>
      <w:bookmarkEnd w:id="3"/>
    </w:tbl>
    <w:p w14:paraId="0A81BB0C">
      <w:pPr>
        <w:spacing w:line="360" w:lineRule="auto"/>
        <w:ind w:firstLine="420" w:firstLineChars="200"/>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67D18">
    <w:pPr>
      <w:pStyle w:val="2"/>
      <w:spacing w:before="120" w:beforeLines="50" w:line="360" w:lineRule="auto"/>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40C3D">
    <w:pPr>
      <w:pStyle w:val="2"/>
      <w:framePr w:wrap="around" w:vAnchor="text" w:hAnchor="margin" w:xAlign="center" w:y="1"/>
      <w:rPr>
        <w:rStyle w:val="8"/>
      </w:rPr>
    </w:pPr>
    <w:r>
      <w:fldChar w:fldCharType="begin"/>
    </w:r>
    <w:r>
      <w:rPr>
        <w:rStyle w:val="8"/>
      </w:rPr>
      <w:instrText xml:space="preserve">PAGE  </w:instrText>
    </w:r>
    <w:r>
      <w:fldChar w:fldCharType="end"/>
    </w:r>
  </w:p>
  <w:p w14:paraId="6B967D1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A52"/>
    <w:rsid w:val="00117A52"/>
    <w:rsid w:val="00166298"/>
    <w:rsid w:val="001A0F85"/>
    <w:rsid w:val="00202C10"/>
    <w:rsid w:val="002A2AE4"/>
    <w:rsid w:val="005567E4"/>
    <w:rsid w:val="006108B8"/>
    <w:rsid w:val="006F7CA6"/>
    <w:rsid w:val="007061B4"/>
    <w:rsid w:val="007458E6"/>
    <w:rsid w:val="0081523C"/>
    <w:rsid w:val="00975CC2"/>
    <w:rsid w:val="009D69F4"/>
    <w:rsid w:val="00B20715"/>
    <w:rsid w:val="00B33BF6"/>
    <w:rsid w:val="00C359C9"/>
    <w:rsid w:val="00F90037"/>
    <w:rsid w:val="093B22C8"/>
    <w:rsid w:val="0B9A3C5B"/>
    <w:rsid w:val="419D7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4">
    <w:name w:val="Title"/>
    <w:basedOn w:val="1"/>
    <w:next w:val="1"/>
    <w:link w:val="9"/>
    <w:qFormat/>
    <w:uiPriority w:val="10"/>
    <w:pPr>
      <w:spacing w:before="240" w:after="60"/>
      <w:jc w:val="center"/>
      <w:outlineLvl w:val="0"/>
    </w:pPr>
    <w:rPr>
      <w:rFonts w:asciiTheme="majorHAnsi" w:hAnsiTheme="majorHAnsi" w:eastAsiaTheme="majorEastAsia" w:cstheme="majorBidi"/>
      <w:b/>
      <w:bCs/>
      <w:sz w:val="32"/>
      <w:szCs w:val="32"/>
    </w:rPr>
  </w:style>
  <w:style w:type="table" w:styleId="6">
    <w:name w:val="Table Grid"/>
    <w:basedOn w:val="5"/>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uiPriority w:val="0"/>
  </w:style>
  <w:style w:type="character" w:customStyle="1" w:styleId="9">
    <w:name w:val="标题 字符"/>
    <w:basedOn w:val="7"/>
    <w:link w:val="4"/>
    <w:uiPriority w:val="10"/>
    <w:rPr>
      <w:rFonts w:asciiTheme="majorHAnsi" w:hAnsiTheme="majorHAnsi" w:eastAsiaTheme="majorEastAsia" w:cstheme="majorBidi"/>
      <w:b/>
      <w:bCs/>
      <w:sz w:val="32"/>
      <w:szCs w:val="32"/>
    </w:rPr>
  </w:style>
  <w:style w:type="character" w:customStyle="1" w:styleId="10">
    <w:name w:val="页脚 字符"/>
    <w:link w:val="2"/>
    <w:qFormat/>
    <w:uiPriority w:val="99"/>
    <w:rPr>
      <w:sz w:val="18"/>
      <w:szCs w:val="18"/>
    </w:rPr>
  </w:style>
  <w:style w:type="character" w:customStyle="1" w:styleId="11">
    <w:name w:val="页脚 字符1"/>
    <w:basedOn w:val="7"/>
    <w:semiHidden/>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3162</Words>
  <Characters>3172</Characters>
  <Lines>24</Lines>
  <Paragraphs>6</Paragraphs>
  <TotalTime>0</TotalTime>
  <ScaleCrop>false</ScaleCrop>
  <LinksUpToDate>false</LinksUpToDate>
  <CharactersWithSpaces>4361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2019-03-16T05:28:00Z</dcterms:created>
  <dc:creator>雯 张</dc:creator>
  <cp:lastModifiedBy>豪</cp:lastModifiedBy>
  <dcterms:modified xsi:type="dcterms:W3CDTF">2026-03-22T07:46:05Z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9FEA4176B2C74564A923BCA14C6BE2DF_12</vt:lpwstr>
  </property>
</Properties>
</file>