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AA4148">
      <w:pPr>
        <w:pStyle w:val="2"/>
        <w:rPr>
          <w:rFonts w:hint="eastAsia" w:ascii="微软雅黑" w:hAnsi="微软雅黑" w:eastAsia="微软雅黑" w:cs="微软雅黑"/>
          <w:sz w:val="24"/>
          <w:szCs w:val="24"/>
        </w:rPr>
      </w:pPr>
      <w:bookmarkStart w:id="0" w:name="_GoBack"/>
      <w:r>
        <w:rPr>
          <w:rFonts w:hint="eastAsia" w:ascii="微软雅黑" w:hAnsi="微软雅黑" w:eastAsia="微软雅黑" w:cs="微软雅黑"/>
          <w:sz w:val="24"/>
          <w:szCs w:val="24"/>
        </w:rPr>
        <w:t>勘测设计合同</w:t>
      </w:r>
    </w:p>
    <w:p w14:paraId="04F25E34">
      <w:pPr>
        <w:spacing w:before="312" w:before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委托单位：</w:t>
      </w:r>
      <w:r>
        <w:rPr>
          <w:rFonts w:hint="eastAsia" w:ascii="微软雅黑" w:hAnsi="微软雅黑" w:eastAsia="微软雅黑" w:cs="微软雅黑"/>
          <w:sz w:val="24"/>
          <w:szCs w:val="24"/>
          <w:u w:val="single"/>
        </w:rPr>
        <w:t xml:space="preserve">                  </w:t>
      </w:r>
    </w:p>
    <w:p w14:paraId="568D9627">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住所：</w:t>
      </w:r>
      <w:r>
        <w:rPr>
          <w:rFonts w:hint="eastAsia" w:ascii="微软雅黑" w:hAnsi="微软雅黑" w:eastAsia="微软雅黑" w:cs="微软雅黑"/>
          <w:sz w:val="24"/>
          <w:szCs w:val="24"/>
          <w:u w:val="single"/>
        </w:rPr>
        <w:t xml:space="preserve">                      </w:t>
      </w:r>
    </w:p>
    <w:p w14:paraId="1480220A">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统一社会信用代码：</w:t>
      </w:r>
      <w:r>
        <w:rPr>
          <w:rFonts w:hint="eastAsia" w:ascii="微软雅黑" w:hAnsi="微软雅黑" w:eastAsia="微软雅黑" w:cs="微软雅黑"/>
          <w:sz w:val="24"/>
          <w:szCs w:val="24"/>
          <w:u w:val="single"/>
        </w:rPr>
        <w:t xml:space="preserve">          </w:t>
      </w:r>
    </w:p>
    <w:p w14:paraId="450DF837">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联系方式：</w:t>
      </w:r>
      <w:r>
        <w:rPr>
          <w:rFonts w:hint="eastAsia" w:ascii="微软雅黑" w:hAnsi="微软雅黑" w:eastAsia="微软雅黑" w:cs="微软雅黑"/>
          <w:sz w:val="24"/>
          <w:szCs w:val="24"/>
          <w:u w:val="single"/>
        </w:rPr>
        <w:t xml:space="preserve">                  </w:t>
      </w:r>
    </w:p>
    <w:p w14:paraId="4E941B33">
      <w:pPr>
        <w:spacing w:before="312" w:beforeLines="100"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承接单位：</w:t>
      </w:r>
      <w:r>
        <w:rPr>
          <w:rFonts w:hint="eastAsia" w:ascii="微软雅黑" w:hAnsi="微软雅黑" w:eastAsia="微软雅黑" w:cs="微软雅黑"/>
          <w:sz w:val="24"/>
          <w:szCs w:val="24"/>
          <w:u w:val="single"/>
        </w:rPr>
        <w:t xml:space="preserve">                  </w:t>
      </w:r>
    </w:p>
    <w:p w14:paraId="38F90FE0">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住所：</w:t>
      </w:r>
      <w:r>
        <w:rPr>
          <w:rFonts w:hint="eastAsia" w:ascii="微软雅黑" w:hAnsi="微软雅黑" w:eastAsia="微软雅黑" w:cs="微软雅黑"/>
          <w:sz w:val="24"/>
          <w:szCs w:val="24"/>
          <w:u w:val="single"/>
        </w:rPr>
        <w:t xml:space="preserve">                      </w:t>
      </w:r>
    </w:p>
    <w:p w14:paraId="1C4E8390">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统一社会信用代码：</w:t>
      </w:r>
      <w:r>
        <w:rPr>
          <w:rFonts w:hint="eastAsia" w:ascii="微软雅黑" w:hAnsi="微软雅黑" w:eastAsia="微软雅黑" w:cs="微软雅黑"/>
          <w:sz w:val="24"/>
          <w:szCs w:val="24"/>
          <w:u w:val="single"/>
        </w:rPr>
        <w:t xml:space="preserve">          </w:t>
      </w:r>
    </w:p>
    <w:p w14:paraId="7F593F98">
      <w:pPr>
        <w:spacing w:after="312" w:afterLines="100"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联系方式：</w:t>
      </w:r>
      <w:r>
        <w:rPr>
          <w:rFonts w:hint="eastAsia" w:ascii="微软雅黑" w:hAnsi="微软雅黑" w:eastAsia="微软雅黑" w:cs="微软雅黑"/>
          <w:sz w:val="24"/>
          <w:szCs w:val="24"/>
          <w:u w:val="single"/>
        </w:rPr>
        <w:t xml:space="preserve">                  </w:t>
      </w:r>
    </w:p>
    <w:p w14:paraId="673D364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一、协议书</w:t>
      </w:r>
    </w:p>
    <w:p w14:paraId="3677EFD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本协议由</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(以下简称“委托方”)与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(以下简称“设计方”)于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日商定并签署。</w:t>
      </w:r>
    </w:p>
    <w:p w14:paraId="1388125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鉴于委托方拟建设</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(工程简称)，并通过</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日的中标通知书接受了设计方以人民币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万元</w:t>
      </w:r>
      <w:r>
        <w:rPr>
          <w:rFonts w:hint="eastAsia" w:ascii="微软雅黑" w:hAnsi="微软雅黑" w:eastAsia="微软雅黑" w:cs="微软雅黑"/>
          <w:sz w:val="24"/>
          <w:szCs w:val="24"/>
        </w:rPr>
        <w:t>（大写：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 xml:space="preserve"> (其中包含变电站、对侧间隔扩建、光纤通信、保护改造、线路工程以及配套工程的设计费、勘测费、竣工图编制费、设备技术标书编制费)为本工程</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阶段勘测设计所做的投标，双方达成如下协议：</w:t>
      </w:r>
    </w:p>
    <w:p w14:paraId="66604A7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 本协议中所用术语的含义与下文提到的合同文件中相应术语的含义相同。</w:t>
      </w:r>
    </w:p>
    <w:p w14:paraId="12A8E9F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 下列文件应为本协议的组成部分：</w:t>
      </w:r>
    </w:p>
    <w:p w14:paraId="2DAF73E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2.1 本协议书(如已完成)；</w:t>
      </w:r>
    </w:p>
    <w:p w14:paraId="5D578AA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2.2 中标通知书；</w:t>
      </w:r>
    </w:p>
    <w:p w14:paraId="4580BD3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2.3 投标书；</w:t>
      </w:r>
    </w:p>
    <w:p w14:paraId="5E2008A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2.4 合同条件的专用条件；</w:t>
      </w:r>
    </w:p>
    <w:p w14:paraId="1103D71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2.5 合同条件的通用条件；</w:t>
      </w:r>
    </w:p>
    <w:p w14:paraId="75B8F22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2.6 双方协商同意的变更、纪要、协议；</w:t>
      </w:r>
    </w:p>
    <w:p w14:paraId="0BD519E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2.7 委托方提供的工程技术资料。</w:t>
      </w:r>
    </w:p>
    <w:p w14:paraId="770AAC4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 上述文件互为补充和解释，如有不清或互相矛盾之处，以上面所列顺序在前的为准。</w:t>
      </w:r>
    </w:p>
    <w:p w14:paraId="154C075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 考虑到委托方将按下条规定付款给设计方，设计方在此立约，保证全面按合同规定完成本阶段工程勘测设计及工程设计代表服务工作。</w:t>
      </w:r>
    </w:p>
    <w:p w14:paraId="37CD308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 考虑到设计方将进行本工程本设计阶段的勘测设计及工地设计代表服务工作，委托方在此立约，保证按合同规定的方式和时间付款给设计方。</w:t>
      </w:r>
    </w:p>
    <w:p w14:paraId="07D1559B">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 为此，双方代表在此签字并加盖公章。</w:t>
      </w: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48"/>
        <w:gridCol w:w="4148"/>
      </w:tblGrid>
      <w:tr w14:paraId="402A51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2AA13127">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委托方代表：</w:t>
            </w:r>
            <w:r>
              <w:rPr>
                <w:rFonts w:hint="eastAsia" w:ascii="微软雅黑" w:hAnsi="微软雅黑" w:eastAsia="微软雅黑" w:cs="微软雅黑"/>
                <w:kern w:val="0"/>
                <w:sz w:val="24"/>
                <w:szCs w:val="24"/>
              </w:rPr>
              <w:t>(签名、盖公章)</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   </w:t>
            </w:r>
          </w:p>
        </w:tc>
        <w:tc>
          <w:tcPr>
            <w:tcW w:w="4148" w:type="dxa"/>
          </w:tcPr>
          <w:p w14:paraId="2BFF3E48">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设计方代表：(签名、盖公章) </w:t>
            </w:r>
            <w:r>
              <w:rPr>
                <w:rFonts w:hint="eastAsia" w:ascii="微软雅黑" w:hAnsi="微软雅黑" w:eastAsia="微软雅黑" w:cs="微软雅黑"/>
                <w:kern w:val="0"/>
                <w:sz w:val="24"/>
                <w:szCs w:val="24"/>
                <w:u w:val="single"/>
              </w:rPr>
              <w:t xml:space="preserve">      </w:t>
            </w:r>
          </w:p>
        </w:tc>
      </w:tr>
      <w:tr w14:paraId="04CDF1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3EEB6818">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委托方</w:t>
            </w:r>
            <w:r>
              <w:rPr>
                <w:rFonts w:hint="eastAsia" w:ascii="微软雅黑" w:hAnsi="微软雅黑" w:eastAsia="微软雅黑" w:cs="微软雅黑"/>
                <w:kern w:val="0"/>
                <w:sz w:val="24"/>
                <w:szCs w:val="24"/>
              </w:rPr>
              <w:t>(公章)：</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   </w:t>
            </w:r>
          </w:p>
        </w:tc>
        <w:tc>
          <w:tcPr>
            <w:tcW w:w="4148" w:type="dxa"/>
          </w:tcPr>
          <w:p w14:paraId="65F8FB2E">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设计方(公章)：</w:t>
            </w:r>
            <w:r>
              <w:rPr>
                <w:rFonts w:hint="eastAsia" w:ascii="微软雅黑" w:hAnsi="微软雅黑" w:eastAsia="微软雅黑" w:cs="微软雅黑"/>
                <w:kern w:val="0"/>
                <w:sz w:val="24"/>
                <w:szCs w:val="24"/>
                <w:u w:val="single"/>
              </w:rPr>
              <w:t xml:space="preserve">                   </w:t>
            </w:r>
          </w:p>
        </w:tc>
      </w:tr>
      <w:tr w14:paraId="42A26E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0A1ED191">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地址：</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   </w:t>
            </w:r>
          </w:p>
        </w:tc>
        <w:tc>
          <w:tcPr>
            <w:tcW w:w="4148" w:type="dxa"/>
          </w:tcPr>
          <w:p w14:paraId="51A294C2">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地址：</w:t>
            </w:r>
            <w:r>
              <w:rPr>
                <w:rFonts w:hint="eastAsia" w:ascii="微软雅黑" w:hAnsi="微软雅黑" w:eastAsia="微软雅黑" w:cs="微软雅黑"/>
                <w:kern w:val="0"/>
                <w:sz w:val="24"/>
                <w:szCs w:val="24"/>
                <w:u w:val="single"/>
              </w:rPr>
              <w:t xml:space="preserve">                           </w:t>
            </w:r>
          </w:p>
        </w:tc>
      </w:tr>
      <w:tr w14:paraId="661F08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0DCAE384">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法人代表：</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   </w:t>
            </w:r>
          </w:p>
        </w:tc>
        <w:tc>
          <w:tcPr>
            <w:tcW w:w="4148" w:type="dxa"/>
          </w:tcPr>
          <w:p w14:paraId="46D5CDB3">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法人代表：</w:t>
            </w:r>
            <w:r>
              <w:rPr>
                <w:rFonts w:hint="eastAsia" w:ascii="微软雅黑" w:hAnsi="微软雅黑" w:eastAsia="微软雅黑" w:cs="微软雅黑"/>
                <w:kern w:val="0"/>
                <w:sz w:val="24"/>
                <w:szCs w:val="24"/>
                <w:u w:val="single"/>
              </w:rPr>
              <w:t xml:space="preserve">                       </w:t>
            </w:r>
          </w:p>
        </w:tc>
      </w:tr>
      <w:tr w14:paraId="68503A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5F0706F9">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委托代理人：</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   </w:t>
            </w:r>
          </w:p>
        </w:tc>
        <w:tc>
          <w:tcPr>
            <w:tcW w:w="4148" w:type="dxa"/>
          </w:tcPr>
          <w:p w14:paraId="02244807">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委托代理人：</w:t>
            </w:r>
            <w:r>
              <w:rPr>
                <w:rFonts w:hint="eastAsia" w:ascii="微软雅黑" w:hAnsi="微软雅黑" w:eastAsia="微软雅黑" w:cs="微软雅黑"/>
                <w:kern w:val="0"/>
                <w:sz w:val="24"/>
                <w:szCs w:val="24"/>
                <w:u w:val="single"/>
              </w:rPr>
              <w:t xml:space="preserve">                     </w:t>
            </w:r>
          </w:p>
        </w:tc>
      </w:tr>
      <w:tr w14:paraId="6D00BF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174CAFE7">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开户银行：</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   </w:t>
            </w:r>
          </w:p>
        </w:tc>
        <w:tc>
          <w:tcPr>
            <w:tcW w:w="4148" w:type="dxa"/>
          </w:tcPr>
          <w:p w14:paraId="7E4EB628">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开户银行：</w:t>
            </w:r>
            <w:r>
              <w:rPr>
                <w:rFonts w:hint="eastAsia" w:ascii="微软雅黑" w:hAnsi="微软雅黑" w:eastAsia="微软雅黑" w:cs="微软雅黑"/>
                <w:kern w:val="0"/>
                <w:sz w:val="24"/>
                <w:szCs w:val="24"/>
                <w:u w:val="single"/>
              </w:rPr>
              <w:t xml:space="preserve">                       </w:t>
            </w:r>
          </w:p>
        </w:tc>
      </w:tr>
      <w:tr w14:paraId="7C0D13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46DEA710">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账号：</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   </w:t>
            </w:r>
          </w:p>
        </w:tc>
        <w:tc>
          <w:tcPr>
            <w:tcW w:w="4148" w:type="dxa"/>
          </w:tcPr>
          <w:p w14:paraId="08D309F0">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账号：</w:t>
            </w:r>
            <w:r>
              <w:rPr>
                <w:rFonts w:hint="eastAsia" w:ascii="微软雅黑" w:hAnsi="微软雅黑" w:eastAsia="微软雅黑" w:cs="微软雅黑"/>
                <w:kern w:val="0"/>
                <w:sz w:val="24"/>
                <w:szCs w:val="24"/>
                <w:u w:val="single"/>
              </w:rPr>
              <w:t xml:space="preserve">                           </w:t>
            </w:r>
          </w:p>
        </w:tc>
      </w:tr>
      <w:tr w14:paraId="5D893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6BFE11F1">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电话：</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   </w:t>
            </w:r>
          </w:p>
        </w:tc>
        <w:tc>
          <w:tcPr>
            <w:tcW w:w="4148" w:type="dxa"/>
          </w:tcPr>
          <w:p w14:paraId="51D49249">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电话：</w:t>
            </w:r>
            <w:r>
              <w:rPr>
                <w:rFonts w:hint="eastAsia" w:ascii="微软雅黑" w:hAnsi="微软雅黑" w:eastAsia="微软雅黑" w:cs="微软雅黑"/>
                <w:kern w:val="0"/>
                <w:sz w:val="24"/>
                <w:szCs w:val="24"/>
                <w:u w:val="single"/>
              </w:rPr>
              <w:t xml:space="preserve">                           </w:t>
            </w:r>
          </w:p>
        </w:tc>
      </w:tr>
      <w:tr w14:paraId="04151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7DDDDC8E">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传真：</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   </w:t>
            </w:r>
          </w:p>
        </w:tc>
        <w:tc>
          <w:tcPr>
            <w:tcW w:w="4148" w:type="dxa"/>
          </w:tcPr>
          <w:p w14:paraId="12378F42">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传真：</w:t>
            </w:r>
            <w:r>
              <w:rPr>
                <w:rFonts w:hint="eastAsia" w:ascii="微软雅黑" w:hAnsi="微软雅黑" w:eastAsia="微软雅黑" w:cs="微软雅黑"/>
                <w:kern w:val="0"/>
                <w:sz w:val="24"/>
                <w:szCs w:val="24"/>
                <w:u w:val="single"/>
              </w:rPr>
              <w:t xml:space="preserve">                           </w:t>
            </w:r>
          </w:p>
        </w:tc>
      </w:tr>
      <w:tr w14:paraId="15AFEA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068C376E">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邮政编码：</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   </w:t>
            </w:r>
          </w:p>
        </w:tc>
        <w:tc>
          <w:tcPr>
            <w:tcW w:w="4148" w:type="dxa"/>
          </w:tcPr>
          <w:p w14:paraId="4D7715D0">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邮政编码：</w:t>
            </w:r>
            <w:r>
              <w:rPr>
                <w:rFonts w:hint="eastAsia" w:ascii="微软雅黑" w:hAnsi="微软雅黑" w:eastAsia="微软雅黑" w:cs="微软雅黑"/>
                <w:kern w:val="0"/>
                <w:sz w:val="24"/>
                <w:szCs w:val="24"/>
                <w:u w:val="single"/>
              </w:rPr>
              <w:t xml:space="preserve">                       </w:t>
            </w:r>
          </w:p>
        </w:tc>
      </w:tr>
      <w:tr w14:paraId="608E9D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56742370">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年</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月</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日    </w:t>
            </w:r>
          </w:p>
        </w:tc>
        <w:tc>
          <w:tcPr>
            <w:tcW w:w="4148" w:type="dxa"/>
          </w:tcPr>
          <w:p w14:paraId="4AFE6875">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年</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月</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日</w:t>
            </w:r>
          </w:p>
        </w:tc>
      </w:tr>
    </w:tbl>
    <w:p w14:paraId="1D4AA7F7">
      <w:pPr>
        <w:spacing w:before="312" w:before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二、通用条件</w:t>
      </w:r>
    </w:p>
    <w:p w14:paraId="0CE598E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 概述</w:t>
      </w:r>
    </w:p>
    <w:p w14:paraId="383445C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1.1 定义</w:t>
      </w:r>
    </w:p>
    <w:p w14:paraId="067D5E2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电力建设项目设计招投标合同文本中以下的用词及词语除根据上下文另有要求外，应具有本节所赋予的含义：</w:t>
      </w:r>
    </w:p>
    <w:p w14:paraId="681CBD7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1.1.1合同：指本合同条件(通用条件和专用条件)、中标通知书、协议书以及其它明确列入中标通知书或协议书中的此类进一步的文件。</w:t>
      </w:r>
    </w:p>
    <w:p w14:paraId="0D552B9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1.1.2 委托方：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2ADA9BD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1.1.3 设计方：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3C1F88E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1.1.4 工程：</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工程：包括该工程的初步设计、施工图设计和竣工图设计，不包括该工程的施工图预算编制工作。</w:t>
      </w:r>
    </w:p>
    <w:p w14:paraId="2789EF1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1.1.5合同价款：指根据合同条款，用以支付设计方为完成勘测设计及有关工作应付的总金额。</w:t>
      </w:r>
    </w:p>
    <w:p w14:paraId="27322A9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1.1.6 不可抗力：不能预见、无法避免又不能克服的客观强制力量。</w:t>
      </w:r>
    </w:p>
    <w:p w14:paraId="76CB262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1.1.7 协议条款：结合具体工程，委托方和设计方协商后签订的书面协议。</w:t>
      </w:r>
    </w:p>
    <w:p w14:paraId="54C7C72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1.2 合同文件及解释顺序</w:t>
      </w:r>
    </w:p>
    <w:p w14:paraId="225CD6D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合同文件应能互相解释</w:t>
      </w:r>
      <w:r>
        <w:rPr>
          <w:rFonts w:hint="eastAsia" w:ascii="微软雅黑" w:hAnsi="微软雅黑" w:eastAsia="微软雅黑" w:cs="微软雅黑"/>
          <w:sz w:val="24"/>
          <w:szCs w:val="24"/>
        </w:rPr>
        <w:t>,互为说明。除合同另有约定外，其组成和解释顺序如下：</w:t>
      </w:r>
    </w:p>
    <w:p w14:paraId="59891C7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1.2.1 协议书(如已完成)及其附件(含双方协商同意的补充及修改文件等)；</w:t>
      </w:r>
    </w:p>
    <w:p w14:paraId="7267485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1.2.2 中标通知书；</w:t>
      </w:r>
    </w:p>
    <w:p w14:paraId="035919C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1.2.3 投标书；</w:t>
      </w:r>
    </w:p>
    <w:p w14:paraId="021FA95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1.2.4 合同条件的专用条件；</w:t>
      </w:r>
    </w:p>
    <w:p w14:paraId="6CFE834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1.2.5 合同条件的通用条件；</w:t>
      </w:r>
    </w:p>
    <w:p w14:paraId="72ACF23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1.2.6 双方协商同意的变更、纪要、协议；</w:t>
      </w:r>
    </w:p>
    <w:p w14:paraId="1ED610D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1.2.7 委托方在招标文件中提供的工程技术资料；</w:t>
      </w:r>
    </w:p>
    <w:p w14:paraId="4CF0859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当合同文件出现含糊不清或不相一致时，在不影响工程进度的下，由双方协商解决；双方意见仍不能一致的，按第</w:t>
      </w:r>
      <w:r>
        <w:rPr>
          <w:rFonts w:hint="eastAsia" w:ascii="微软雅黑" w:hAnsi="微软雅黑" w:eastAsia="微软雅黑" w:cs="微软雅黑"/>
          <w:sz w:val="24"/>
          <w:szCs w:val="24"/>
        </w:rPr>
        <w:t>10条约定的办法解决。</w:t>
      </w:r>
    </w:p>
    <w:p w14:paraId="57E6B56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1.3 合同文件使用语言、文字和适用的法律：</w:t>
      </w:r>
    </w:p>
    <w:p w14:paraId="67C0DA5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合同文件使用汉字或专用条件约定的语言书写和解释、说明。</w:t>
      </w:r>
    </w:p>
    <w:p w14:paraId="69441D3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适用于合同文件的法律是国家的法律，法规，及专用条件约定的部门规章或工程所在地的地方法规。</w:t>
      </w:r>
    </w:p>
    <w:p w14:paraId="57DBDAC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勘测设计中必须使用专用条件约定的国家标准、规范；国家没有相应标准、规范时，可使用专用条件约定的行业或工程所在地的省级地方标准、规范。</w:t>
      </w:r>
    </w:p>
    <w:p w14:paraId="73CD1BC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 双方责任</w:t>
      </w:r>
    </w:p>
    <w:p w14:paraId="3567B56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2.1 委托方责任</w:t>
      </w:r>
    </w:p>
    <w:p w14:paraId="7B442B8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2.1.1 委托方应尊重设计方根据国家或行业有关标准规定进行勘测设计工作的</w:t>
      </w:r>
      <w:r>
        <w:rPr>
          <w:rFonts w:hint="eastAsia" w:ascii="微软雅黑" w:hAnsi="微软雅黑" w:eastAsia="微软雅黑" w:cs="微软雅黑"/>
          <w:sz w:val="24"/>
          <w:szCs w:val="24"/>
        </w:rPr>
        <w:t>权利</w:t>
      </w:r>
      <w:r>
        <w:rPr>
          <w:rFonts w:hint="eastAsia" w:ascii="微软雅黑" w:hAnsi="微软雅黑" w:eastAsia="微软雅黑" w:cs="微软雅黑"/>
          <w:sz w:val="24"/>
          <w:szCs w:val="24"/>
        </w:rPr>
        <w:t>，不应提出与国家或行业标准、规定相抵触的要求；</w:t>
      </w:r>
    </w:p>
    <w:p w14:paraId="3E38818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2.1.2 向设计方提供开展勘测设计工作所需的有关基础资料，并对提供的时间、进度和资料的可靠性负责；</w:t>
      </w:r>
    </w:p>
    <w:p w14:paraId="1218C6A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2.1.3 委托方应按合同规定向设计方支付勘测设计费；</w:t>
      </w:r>
    </w:p>
    <w:p w14:paraId="2E8AD08B">
      <w:pPr>
        <w:spacing w:line="360" w:lineRule="auto"/>
        <w:ind w:left="420" w:left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2.1.4负责对外协议的联系工作，并签订与工程建设及将来运行有关的协议。2.1.5 负责协调勘测设计过程中与有关单位的配合；</w:t>
      </w:r>
    </w:p>
    <w:p w14:paraId="326DD9A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2.1.6在勘测工作中，负责对外联系并取得勘测许可证，负责解决由国家规定的工程勘测取费标准中明确由委托方负责筹措解决的项目并支付费用；</w:t>
      </w:r>
    </w:p>
    <w:p w14:paraId="4A02D6B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2.1.7委托方需保护设计方的设计版权，未经设计方同意，委托方对设计方交付的设计文件和勘测结果不得复制或向第三方转让或用于合同外的项目。</w:t>
      </w:r>
    </w:p>
    <w:p w14:paraId="0297D6C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2.2 设计方责任</w:t>
      </w:r>
    </w:p>
    <w:p w14:paraId="0228DC0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2.2.1按照国家及行业现行的标准、规程、规范、技术条例进行勘测设计工作，严格掌握设计标准，控制工程造价；</w:t>
      </w:r>
    </w:p>
    <w:p w14:paraId="0362AF7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2.2.2 设计方按本合同专用条件第5条规定的内容、时间及份数向委托方交付设计文件，并对委托范围内的勘测设计的完整性、准确性负责；</w:t>
      </w:r>
    </w:p>
    <w:p w14:paraId="0E4920B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2.2.3设计方应按照合同的规定和投标书中有关质量方面的承诺进行勘测设计的组织和具体实施，保证勘测设计质量；</w:t>
      </w:r>
    </w:p>
    <w:p w14:paraId="472CE2D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2.2.4 设计方应依据合同，接受委托方聘请的设计监理方的监理。设计监理的任何建议、检查、确认、同意、批准或类似行为不应该变更或免除设计方的责任；</w:t>
      </w:r>
    </w:p>
    <w:p w14:paraId="2E78E39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2.2.5 设计方应按行业规定的合同要求做好工程建设全过程的勘测设计服务工作；</w:t>
      </w:r>
    </w:p>
    <w:p w14:paraId="3C1F25A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2.2.6 本工程主体工程不允许设计分包，辅助工程分包须委托方同意；</w:t>
      </w:r>
    </w:p>
    <w:p w14:paraId="4E0D36B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2.2.7设计方未经委托方同意不得向第三方扩散、转让委托方提交的产品图纸等技术经济资料。</w:t>
      </w:r>
    </w:p>
    <w:p w14:paraId="4426D80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 设计工期：按双方约定的要求执行，详见专用</w:t>
      </w:r>
      <w:r>
        <w:rPr>
          <w:rFonts w:hint="eastAsia" w:ascii="微软雅黑" w:hAnsi="微软雅黑" w:eastAsia="微软雅黑" w:cs="微软雅黑"/>
          <w:sz w:val="24"/>
          <w:szCs w:val="24"/>
        </w:rPr>
        <w:t>条件</w:t>
      </w:r>
      <w:r>
        <w:rPr>
          <w:rFonts w:hint="eastAsia" w:ascii="微软雅黑" w:hAnsi="微软雅黑" w:eastAsia="微软雅黑" w:cs="微软雅黑"/>
          <w:sz w:val="24"/>
          <w:szCs w:val="24"/>
        </w:rPr>
        <w:t>第5条。</w:t>
      </w:r>
    </w:p>
    <w:p w14:paraId="18B7D38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 审查、确认</w:t>
      </w:r>
    </w:p>
    <w:p w14:paraId="13D5A74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4.1 审查：</w:t>
      </w:r>
    </w:p>
    <w:p w14:paraId="22E586E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设计方应按国家及国家电网公司、湖北省电力公司有关规定呈交符合各勘测设计阶段内容深度和要求的图纸文件供审查之用，委托方负责审查的安排。</w:t>
      </w:r>
    </w:p>
    <w:p w14:paraId="14B02CE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4.2 确认：</w:t>
      </w:r>
    </w:p>
    <w:p w14:paraId="3DAB142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4.2.1 委托方可根据需要并组织对施工用设计图纸进行确认或施工图会审工作；</w:t>
      </w:r>
    </w:p>
    <w:p w14:paraId="3CD9DCE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4.2.2确认或会审意见如造成非设计方原因的勘测设计的返工，其返工费用由委托方负责，如属设计方责任，则不应增加勘测设计费用。</w:t>
      </w:r>
    </w:p>
    <w:p w14:paraId="1520489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 其它服务：设计方可按照委托方的要求或委托进行电力行业所规定的勘测设计范围和深度以外的工作，并另行收费。</w:t>
      </w:r>
    </w:p>
    <w:p w14:paraId="0730ABE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 合同价款与支付</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委托方应按本合同专用条件第5条规定的金额和时间向设计方预付和支付勘测设计费用。</w:t>
      </w:r>
    </w:p>
    <w:p w14:paraId="2AF1F2D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 违约</w:t>
      </w:r>
    </w:p>
    <w:p w14:paraId="6641B3A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7.1 委托方或设计方违反合同规定造成损失的应承担违约责任；</w:t>
      </w:r>
    </w:p>
    <w:p w14:paraId="48A8195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7.2因勘测设计质量低劣引起返工造成损失的，由设计方继续完善勘测设计任务，并按损失的大小减收勘测设计费和赔偿损失；</w:t>
      </w:r>
    </w:p>
    <w:p w14:paraId="697D563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7.3 如由于设计方设计错误造成重大工程质量事故损失，设计方除负责采取补救措施外，应免收受损失部分的设计费，并根据损失程度向委托方偿付赔偿金；</w:t>
      </w:r>
    </w:p>
    <w:p w14:paraId="05800BE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7.4 由于设计方自身原因，延误了按本合同专用条件第6条规定的设计文件交付时间，处以适当罚款；造成委托方损失的，应赔偿损失；</w:t>
      </w:r>
    </w:p>
    <w:p w14:paraId="36148B2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7.5 委托方违约变更委托设计项目、规模、条件</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未按</w:t>
      </w:r>
      <w:r>
        <w:rPr>
          <w:rFonts w:hint="eastAsia" w:ascii="微软雅黑" w:hAnsi="微软雅黑" w:eastAsia="微软雅黑" w:cs="微软雅黑"/>
          <w:sz w:val="24"/>
          <w:szCs w:val="24"/>
        </w:rPr>
        <w:t>时</w:t>
      </w:r>
      <w:r>
        <w:rPr>
          <w:rFonts w:hint="eastAsia" w:ascii="微软雅黑" w:hAnsi="微软雅黑" w:eastAsia="微软雅黑" w:cs="微软雅黑"/>
          <w:sz w:val="24"/>
          <w:szCs w:val="24"/>
        </w:rPr>
        <w:t>提交资料或提交资料错误及对所</w:t>
      </w:r>
      <w:r>
        <w:rPr>
          <w:rFonts w:hint="eastAsia" w:ascii="微软雅黑" w:hAnsi="微软雅黑" w:eastAsia="微软雅黑" w:cs="微软雅黑"/>
          <w:sz w:val="24"/>
          <w:szCs w:val="24"/>
        </w:rPr>
        <w:t>提交</w:t>
      </w:r>
      <w:r>
        <w:rPr>
          <w:rFonts w:hint="eastAsia" w:ascii="微软雅黑" w:hAnsi="微软雅黑" w:eastAsia="微软雅黑" w:cs="微软雅黑"/>
          <w:sz w:val="24"/>
          <w:szCs w:val="24"/>
        </w:rPr>
        <w:t>资料作较大修改，以致造成设计方返工或增加工作量时，双方除需另行协商签订补充合同、重新明确有关条款外，委托方应按设计所耗工作量向设计方支付返工费或追加工作量的补偿；</w:t>
      </w:r>
    </w:p>
    <w:p w14:paraId="72999A5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7.6 按2.1.2条委托方提交资料及文件超过规定期限</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天以内，设计方交付设计文件时间顺延；规定期限超过</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天以上时，委托、设计双方可重新商定提交设计文件的时间。</w:t>
      </w:r>
    </w:p>
    <w:p w14:paraId="2EBCEE9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8. 设计文件交付</w:t>
      </w:r>
    </w:p>
    <w:p w14:paraId="307315B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设计方根据有关设计文件出版份数规定和双方商定的文件交付时间向委托方提供勘测设计文件。</w:t>
      </w:r>
    </w:p>
    <w:p w14:paraId="29A1F65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9. 现场服务</w:t>
      </w:r>
    </w:p>
    <w:p w14:paraId="1DA0704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9.1设计单位对所承担勘测设计任务的建设项目应配合施工，进行技术交底，解决施工过程中有关设计问题，负责变更部分费用计算，根据工程情况派驻现场设计代表，参加隐蔽工程验收、阶段验收、联合试运转及工程竣工验收；</w:t>
      </w:r>
    </w:p>
    <w:p w14:paraId="5E7305A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9.2在勘测设计人员进入现场作业或配合施工时，委托方负责提供必要的工作、交通、通讯和生活方便。</w:t>
      </w:r>
    </w:p>
    <w:p w14:paraId="07A5DA0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10.争议</w:t>
      </w:r>
    </w:p>
    <w:p w14:paraId="7CE1EA9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25407A7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送达方式以及送达条款</w:t>
      </w:r>
    </w:p>
    <w:p w14:paraId="289F655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10.1</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送达地址以及方式</w:t>
      </w:r>
    </w:p>
    <w:p w14:paraId="5DC119C4">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10.1.1</w:t>
      </w:r>
      <w:r>
        <w:rPr>
          <w:rFonts w:hint="eastAsia" w:ascii="微软雅黑" w:hAnsi="微软雅黑" w:eastAsia="微软雅黑" w:cs="微软雅黑"/>
          <w:sz w:val="24"/>
          <w:szCs w:val="24"/>
          <w:lang w:eastAsia="zh-CN"/>
        </w:rPr>
        <w:t>送达地址</w:t>
      </w:r>
    </w:p>
    <w:p w14:paraId="4AC3CC0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甲方确认送达地址如下：</w:t>
      </w:r>
    </w:p>
    <w:p w14:paraId="3C2B000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2889306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07F064C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7AFD442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79F0959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甲方电子送达方式如下：</w:t>
      </w:r>
    </w:p>
    <w:p w14:paraId="6B3775C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04FAADA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2AD80A4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050B6EA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            。</w:t>
      </w:r>
    </w:p>
    <w:p w14:paraId="113BF26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乙方确认送达地址如下：</w:t>
      </w:r>
    </w:p>
    <w:p w14:paraId="1564694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289295B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7C01D3F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3159404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2DC1CD0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乙方电子送达方式如下：</w:t>
      </w:r>
    </w:p>
    <w:p w14:paraId="5A02259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0964E05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7177ADE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4DF9295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w:t>
      </w:r>
    </w:p>
    <w:p w14:paraId="7040F512">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10.1.2</w:t>
      </w:r>
      <w:r>
        <w:rPr>
          <w:rFonts w:hint="eastAsia" w:ascii="微软雅黑" w:hAnsi="微软雅黑" w:eastAsia="微软雅黑" w:cs="微软雅黑"/>
          <w:sz w:val="24"/>
          <w:szCs w:val="24"/>
          <w:lang w:eastAsia="zh-CN"/>
        </w:rPr>
        <w:t>送达方式</w:t>
      </w:r>
    </w:p>
    <w:p w14:paraId="13C18D9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双方同意，本合同项下的通知、函件、诉讼文书等文件，以下列方式送达对方：</w:t>
      </w:r>
    </w:p>
    <w:p w14:paraId="7D5E951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直接送达：将文件送至对方指定的送达地址，视为已送达；</w:t>
      </w:r>
    </w:p>
    <w:p w14:paraId="3F16085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邮寄送达：将文件通过挂号信、特快专递等方式寄至对方指定的送达地址，以邮戳日期为准，视为已送达；</w:t>
      </w:r>
    </w:p>
    <w:p w14:paraId="476350F1">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（3）.</w:t>
      </w:r>
      <w:r>
        <w:rPr>
          <w:rFonts w:hint="eastAsia" w:ascii="微软雅黑" w:hAnsi="微软雅黑" w:eastAsia="微软雅黑" w:cs="微软雅黑"/>
          <w:sz w:val="24"/>
          <w:szCs w:val="24"/>
        </w:rPr>
        <w:t>电子送达：将文件通过电子邮件、短信、微信等方式发送至对方指定的电子邮箱、手机号码等，发送成功即视为已送达。</w:t>
      </w:r>
    </w:p>
    <w:p w14:paraId="3B03E765">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10.2</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送达条款</w:t>
      </w:r>
    </w:p>
    <w:p w14:paraId="40A3C23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10.2.1</w:t>
      </w:r>
      <w:r>
        <w:rPr>
          <w:rFonts w:hint="eastAsia" w:ascii="微软雅黑" w:hAnsi="微软雅黑" w:eastAsia="微软雅黑" w:cs="微软雅黑"/>
          <w:sz w:val="24"/>
          <w:szCs w:val="24"/>
          <w:lang w:eastAsia="zh-CN"/>
        </w:rPr>
        <w:t>本送达条款适用于合同履行履行期间及合同纠纷解决过程中的所有文件送达。</w:t>
      </w:r>
    </w:p>
    <w:p w14:paraId="00CC001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10.2.2</w:t>
      </w:r>
      <w:r>
        <w:rPr>
          <w:rFonts w:hint="eastAsia" w:ascii="微软雅黑" w:hAnsi="微软雅黑" w:eastAsia="微软雅黑" w:cs="微软雅黑"/>
          <w:sz w:val="24"/>
          <w:szCs w:val="24"/>
        </w:rPr>
        <w:t>法院、仲裁委员会、合同项下任何一方等主体有权依据本合</w:t>
      </w:r>
      <w:r>
        <w:rPr>
          <w:rFonts w:hint="eastAsia" w:ascii="微软雅黑" w:hAnsi="微软雅黑" w:eastAsia="微软雅黑" w:cs="微软雅黑"/>
          <w:sz w:val="24"/>
          <w:szCs w:val="24"/>
          <w:lang w:eastAsia="zh-CN"/>
        </w:rPr>
        <w:t>同</w:t>
      </w:r>
      <w:r>
        <w:rPr>
          <w:rFonts w:hint="eastAsia" w:ascii="微软雅黑" w:hAnsi="微软雅黑" w:eastAsia="微软雅黑" w:cs="微软雅黑"/>
          <w:sz w:val="24"/>
          <w:szCs w:val="24"/>
        </w:rPr>
        <w:t>约定地址向另一方发出的通知、信件、数据电文等内容，如因包括不限于搬迁、注销、更换地址等接收方原因造成无法送达的，不利后果由接收方自行承担。</w:t>
      </w:r>
    </w:p>
    <w:p w14:paraId="54ADDB7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10.2.3</w:t>
      </w:r>
      <w:r>
        <w:rPr>
          <w:rFonts w:hint="eastAsia" w:ascii="微软雅黑" w:hAnsi="微软雅黑" w:eastAsia="微软雅黑" w:cs="微软雅黑"/>
          <w:sz w:val="24"/>
          <w:szCs w:val="24"/>
        </w:rPr>
        <w:t>双方在合同履行过程中由双方共同明示或默示确认的合同约定外的送达地址和联系方式不影响送达效力。</w:t>
      </w:r>
    </w:p>
    <w:p w14:paraId="53325B1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10.2.4</w:t>
      </w:r>
      <w:r>
        <w:rPr>
          <w:rFonts w:hint="eastAsia" w:ascii="微软雅黑" w:hAnsi="微软雅黑" w:eastAsia="微软雅黑" w:cs="微软雅黑"/>
          <w:sz w:val="24"/>
          <w:szCs w:val="24"/>
        </w:rPr>
        <w:t>双方认同电子送达效力，合同履行过程中或法院、仲裁委员会按照法律或适时有效的仲裁规则需要进行电子送达的，内容自进入双方接收系统之日起，视为送达成功。</w:t>
      </w:r>
    </w:p>
    <w:p w14:paraId="2DF2BAB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10.2.5</w:t>
      </w:r>
      <w:r>
        <w:rPr>
          <w:rFonts w:hint="eastAsia" w:ascii="微软雅黑" w:hAnsi="微软雅黑" w:eastAsia="微软雅黑" w:cs="微软雅黑"/>
          <w:sz w:val="24"/>
          <w:szCs w:val="24"/>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lang w:eastAsia="zh-CN"/>
        </w:rPr>
        <w:t>及时</w:t>
      </w:r>
      <w:r>
        <w:rPr>
          <w:rFonts w:hint="eastAsia" w:ascii="微软雅黑" w:hAnsi="微软雅黑" w:eastAsia="微软雅黑" w:cs="微软雅黑"/>
          <w:sz w:val="24"/>
          <w:szCs w:val="24"/>
        </w:rPr>
        <w:t>通知的，发送方按照原约定方式送达，视为送达成功。</w:t>
      </w:r>
    </w:p>
    <w:p w14:paraId="5596FD4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10.2.6</w:t>
      </w:r>
      <w:r>
        <w:rPr>
          <w:rFonts w:hint="eastAsia" w:ascii="微软雅黑" w:hAnsi="微软雅黑" w:eastAsia="微软雅黑" w:cs="微软雅黑"/>
          <w:sz w:val="24"/>
          <w:szCs w:val="24"/>
        </w:rPr>
        <w:t>双方发生争议，关于裁判机构的送达文书，接收方存在以下行为之一的，</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仲裁委员会有权依据法律和适时有效的仲裁规则规定进行送达，法律与仲裁规则规定程序完成之日，视为送达成功：</w:t>
      </w:r>
    </w:p>
    <w:p w14:paraId="127F691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.擅自变更送达地址及信息且未及时通知对方的</w:t>
      </w:r>
      <w:r>
        <w:rPr>
          <w:rFonts w:hint="eastAsia" w:ascii="微软雅黑" w:hAnsi="微软雅黑" w:eastAsia="微软雅黑" w:cs="微软雅黑"/>
          <w:sz w:val="24"/>
          <w:szCs w:val="24"/>
          <w:lang w:eastAsia="zh-CN"/>
        </w:rPr>
        <w:t>；</w:t>
      </w:r>
    </w:p>
    <w:p w14:paraId="5BF378A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2</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.送达地址与信息同工商登记信息不一致且未及时更改的</w:t>
      </w:r>
      <w:r>
        <w:rPr>
          <w:rFonts w:hint="eastAsia" w:ascii="微软雅黑" w:hAnsi="微软雅黑" w:eastAsia="微软雅黑" w:cs="微软雅黑"/>
          <w:sz w:val="24"/>
          <w:szCs w:val="24"/>
          <w:lang w:eastAsia="zh-CN"/>
        </w:rPr>
        <w:t>；</w:t>
      </w:r>
    </w:p>
    <w:p w14:paraId="7C23847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3</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.故意不接收</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仲裁委员会送达文书的</w:t>
      </w:r>
      <w:r>
        <w:rPr>
          <w:rFonts w:hint="eastAsia" w:ascii="微软雅黑" w:hAnsi="微软雅黑" w:eastAsia="微软雅黑" w:cs="微软雅黑"/>
          <w:sz w:val="24"/>
          <w:szCs w:val="24"/>
          <w:lang w:eastAsia="zh-CN"/>
        </w:rPr>
        <w:t>；</w:t>
      </w:r>
    </w:p>
    <w:p w14:paraId="022D251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4</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.因接收方过错造成无法正常送达的其他行为</w:t>
      </w:r>
      <w:r>
        <w:rPr>
          <w:rFonts w:hint="eastAsia" w:ascii="微软雅黑" w:hAnsi="微软雅黑" w:eastAsia="微软雅黑" w:cs="微软雅黑"/>
          <w:sz w:val="24"/>
          <w:szCs w:val="24"/>
          <w:lang w:eastAsia="zh-CN"/>
        </w:rPr>
        <w:t>。</w:t>
      </w:r>
    </w:p>
    <w:p w14:paraId="593793E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11.其它</w:t>
      </w:r>
    </w:p>
    <w:p w14:paraId="0F2CE98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11.1 由于不可抗力因素致使合同无法履行时，双方应及时协商解决；</w:t>
      </w:r>
    </w:p>
    <w:p w14:paraId="1DACFA3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11.2 设计方为本合同项目所采用的国家或地方标准图，由设计方自费向有关出版部门购买；</w:t>
      </w:r>
    </w:p>
    <w:p w14:paraId="0C2AA99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11.3 本合同未尽事宜，双方可签订补充协议作为附件，补充协议与合同具有同等法律效力；</w:t>
      </w:r>
    </w:p>
    <w:p w14:paraId="2DE9F47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11.4 合同有效期：本合同经双方签字盖章后生效，在工程建成移交生产，结清设计费后自行失效；</w:t>
      </w:r>
    </w:p>
    <w:p w14:paraId="46C6F33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11.5 合同份数：合同正本2份，具有同等效力，由委托、设计双方签字盖章后分别保存。副本</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份,合同副本报送工程所在地建设主管部门，工商管理机关和相关银行的工作由委托方负责完成。</w:t>
      </w:r>
    </w:p>
    <w:p w14:paraId="19C8588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三、专用条件</w:t>
      </w:r>
    </w:p>
    <w:p w14:paraId="48FF552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注：专用条件中有关条款为下述情况下的条款：即通用条件中的规定所涉及的需在专用条件中阐明替代解决办法的条款。如果在专用条件中未给出替代解决办法，则应按通用条件中的规定执行。</w:t>
      </w:r>
    </w:p>
    <w:p w14:paraId="1B5C09D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1．合同文件使用语言、文字和适用法律：</w:t>
      </w:r>
    </w:p>
    <w:p w14:paraId="32C84F8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勘测设计中应使用的国家标准、规范；行业和工程所在地省级地方的标准规范为：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025AF36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2．向设计方提供开展勘测设计工作所需的有关基础资料为：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42E74F4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3．委托方负责签订的对外协议和合同为：批准的设计任务书，土地征用协议。</w:t>
      </w:r>
    </w:p>
    <w:p w14:paraId="5D28C27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4．鉴于本工程初步设计概算未正式批复，经双方友好协商，合同价款暂按中标价作为预计合同价款签订，合同的最终价款按初设计批复的勘测设计费与中标降低率的乘积确定。</w:t>
      </w:r>
    </w:p>
    <w:p w14:paraId="278FCCF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5．合同款预付及支付时间与款项金额：合同价款总额组成：基本价款</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％；安全质量保证金</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％；创优保证金</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％。初设计批复后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天内即付</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％，人民币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万</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仟</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元整，施工图完成并图纸交付完毕后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天内付</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％，人民币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万</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仟</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元整，工程竣工投产后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个月内，支付剩余的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 ，人民币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万</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仟</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佰</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元整。工程通过达标投产后退还扣除安全质量罚金后剩余的安全质量保证金；达到所要求的优质工程标准时退还创优保证金。</w:t>
      </w:r>
    </w:p>
    <w:p w14:paraId="515A1D4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安全质量考核和工程创优条件按《</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省电力公司电网建设安全质量考核办法》执行。</w:t>
      </w:r>
    </w:p>
    <w:p w14:paraId="6BB5BAA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合同款的支付方式采用：转账支票。</w:t>
      </w:r>
    </w:p>
    <w:p w14:paraId="4873C0B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6．设计文件交付</w:t>
      </w:r>
    </w:p>
    <w:p w14:paraId="3908436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设计方向委托方交付设计文件的项目、地点、时间及份数：</w:t>
      </w:r>
    </w:p>
    <w:p w14:paraId="0A355ED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初步设计图纸</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套，须在正式委托发出后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个月内提交；</w:t>
      </w:r>
      <w:r>
        <w:rPr>
          <w:rFonts w:hint="eastAsia" w:ascii="微软雅黑" w:hAnsi="微软雅黑" w:eastAsia="微软雅黑" w:cs="微软雅黑"/>
          <w:sz w:val="24"/>
          <w:szCs w:val="24"/>
        </w:rPr>
        <w:t>建设</w:t>
      </w:r>
      <w:r>
        <w:rPr>
          <w:rFonts w:hint="eastAsia" w:ascii="微软雅黑" w:hAnsi="微软雅黑" w:eastAsia="微软雅黑" w:cs="微软雅黑"/>
          <w:sz w:val="24"/>
          <w:szCs w:val="24"/>
        </w:rPr>
        <w:t>施工图纸</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套，具体交付时间由委托方与设计方协商确定。</w:t>
      </w:r>
    </w:p>
    <w:p w14:paraId="2E3625D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工程投产送电后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个月内提交竣工图</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套。</w:t>
      </w:r>
    </w:p>
    <w:p w14:paraId="70720E9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应委托方要求增加供给的图纸资料，设计方按</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元/公斤</w:t>
      </w:r>
      <w:r>
        <w:rPr>
          <w:rFonts w:hint="eastAsia" w:ascii="微软雅黑" w:hAnsi="微软雅黑" w:eastAsia="微软雅黑" w:cs="微软雅黑"/>
          <w:sz w:val="24"/>
          <w:szCs w:val="24"/>
        </w:rPr>
        <w:t>（大写：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另行计收费用。</w:t>
      </w:r>
    </w:p>
    <w:p w14:paraId="43D66DD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设计文件交付地点</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289277A6">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7．合同有效期：自签订之日起至工程投产后勘测设计费尾款付清止。</w:t>
      </w: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48"/>
        <w:gridCol w:w="4148"/>
      </w:tblGrid>
      <w:tr w14:paraId="45ACC5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4AA91E40">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委托单位：</w:t>
            </w:r>
          </w:p>
        </w:tc>
        <w:tc>
          <w:tcPr>
            <w:tcW w:w="4148" w:type="dxa"/>
          </w:tcPr>
          <w:p w14:paraId="7815249D">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承接单位：</w:t>
            </w:r>
          </w:p>
        </w:tc>
      </w:tr>
      <w:tr w14:paraId="00C65F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2B4AE0E7">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法定代表人：</w:t>
            </w:r>
          </w:p>
        </w:tc>
        <w:tc>
          <w:tcPr>
            <w:tcW w:w="4148" w:type="dxa"/>
          </w:tcPr>
          <w:p w14:paraId="441234E3">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法定代表人：</w:t>
            </w:r>
          </w:p>
        </w:tc>
      </w:tr>
      <w:tr w14:paraId="3B0184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6A64D5D1">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签订日期：</w:t>
            </w:r>
          </w:p>
        </w:tc>
        <w:tc>
          <w:tcPr>
            <w:tcW w:w="4148" w:type="dxa"/>
          </w:tcPr>
          <w:p w14:paraId="7DFD7890">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签订日期：</w:t>
            </w:r>
          </w:p>
        </w:tc>
      </w:tr>
    </w:tbl>
    <w:p w14:paraId="3533C535">
      <w:pPr>
        <w:spacing w:line="360" w:lineRule="auto"/>
        <w:rPr>
          <w:rFonts w:hint="eastAsia" w:ascii="微软雅黑" w:hAnsi="微软雅黑" w:eastAsia="微软雅黑" w:cs="微软雅黑"/>
          <w:sz w:val="24"/>
          <w:szCs w:val="24"/>
        </w:rPr>
      </w:pPr>
    </w:p>
    <w:bookmarkEnd w:id="0"/>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43763">
    <w:pPr>
      <w:pStyle w:val="7"/>
      <w:framePr w:wrap="around" w:vAnchor="text" w:hAnchor="margin" w:xAlign="center" w:y="1"/>
      <w:rPr>
        <w:rStyle w:val="13"/>
      </w:rPr>
    </w:pPr>
    <w:r>
      <w:rPr>
        <w:rStyle w:val="13"/>
      </w:rPr>
      <w:fldChar w:fldCharType="begin"/>
    </w:r>
    <w:r>
      <w:rPr>
        <w:rStyle w:val="13"/>
      </w:rPr>
      <w:instrText xml:space="preserve">PAGE  </w:instrText>
    </w:r>
    <w:r>
      <w:rPr>
        <w:rStyle w:val="13"/>
      </w:rPr>
      <w:fldChar w:fldCharType="separate"/>
    </w:r>
    <w:r>
      <w:rPr>
        <w:rStyle w:val="13"/>
      </w:rPr>
      <w:t>0</w:t>
    </w:r>
    <w:r>
      <w:rPr>
        <w:rStyle w:val="13"/>
      </w:rPr>
      <w:fldChar w:fldCharType="end"/>
    </w:r>
  </w:p>
  <w:p w14:paraId="356247FA">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9707AF">
    <w:pPr>
      <w:pStyle w:val="7"/>
      <w:framePr w:wrap="around" w:vAnchor="text" w:hAnchor="margin" w:xAlign="center" w:y="1"/>
      <w:rPr>
        <w:rStyle w:val="13"/>
      </w:rPr>
    </w:pPr>
    <w:r>
      <w:rPr>
        <w:rStyle w:val="13"/>
      </w:rPr>
      <w:fldChar w:fldCharType="begin"/>
    </w:r>
    <w:r>
      <w:rPr>
        <w:rStyle w:val="13"/>
      </w:rPr>
      <w:instrText xml:space="preserve">PAGE  </w:instrText>
    </w:r>
    <w:r>
      <w:rPr>
        <w:rStyle w:val="13"/>
      </w:rPr>
      <w:fldChar w:fldCharType="end"/>
    </w:r>
  </w:p>
  <w:p w14:paraId="4EF09399">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8D9"/>
    <w:rsid w:val="000179C5"/>
    <w:rsid w:val="000544C9"/>
    <w:rsid w:val="000B76E3"/>
    <w:rsid w:val="001373D3"/>
    <w:rsid w:val="00175BB1"/>
    <w:rsid w:val="001955E2"/>
    <w:rsid w:val="001A6708"/>
    <w:rsid w:val="001B3D5C"/>
    <w:rsid w:val="001C342E"/>
    <w:rsid w:val="0024664A"/>
    <w:rsid w:val="002564E2"/>
    <w:rsid w:val="00274A23"/>
    <w:rsid w:val="00284D29"/>
    <w:rsid w:val="002A0ACD"/>
    <w:rsid w:val="002B0E87"/>
    <w:rsid w:val="002B550B"/>
    <w:rsid w:val="00322389"/>
    <w:rsid w:val="003D1781"/>
    <w:rsid w:val="003D5FEE"/>
    <w:rsid w:val="004018AB"/>
    <w:rsid w:val="00416229"/>
    <w:rsid w:val="00447C4F"/>
    <w:rsid w:val="00466F81"/>
    <w:rsid w:val="004B5D33"/>
    <w:rsid w:val="004C1B00"/>
    <w:rsid w:val="004F3C4B"/>
    <w:rsid w:val="005101FB"/>
    <w:rsid w:val="005477E3"/>
    <w:rsid w:val="00597558"/>
    <w:rsid w:val="005D0707"/>
    <w:rsid w:val="005E6764"/>
    <w:rsid w:val="00606ADC"/>
    <w:rsid w:val="00611435"/>
    <w:rsid w:val="00630E5B"/>
    <w:rsid w:val="00633E3E"/>
    <w:rsid w:val="006919DD"/>
    <w:rsid w:val="006A5667"/>
    <w:rsid w:val="006D02D6"/>
    <w:rsid w:val="0072111C"/>
    <w:rsid w:val="00752929"/>
    <w:rsid w:val="00754C48"/>
    <w:rsid w:val="007868F1"/>
    <w:rsid w:val="00797679"/>
    <w:rsid w:val="00805025"/>
    <w:rsid w:val="00811918"/>
    <w:rsid w:val="00893EDE"/>
    <w:rsid w:val="008E002D"/>
    <w:rsid w:val="008F7E80"/>
    <w:rsid w:val="009110C5"/>
    <w:rsid w:val="0094604C"/>
    <w:rsid w:val="00957D5D"/>
    <w:rsid w:val="0096684E"/>
    <w:rsid w:val="0097008A"/>
    <w:rsid w:val="009745DA"/>
    <w:rsid w:val="009876E8"/>
    <w:rsid w:val="009958D9"/>
    <w:rsid w:val="009B53C5"/>
    <w:rsid w:val="009D2890"/>
    <w:rsid w:val="00A24F1D"/>
    <w:rsid w:val="00A41F9D"/>
    <w:rsid w:val="00A560C0"/>
    <w:rsid w:val="00A71A9A"/>
    <w:rsid w:val="00A80CB4"/>
    <w:rsid w:val="00A91145"/>
    <w:rsid w:val="00A93094"/>
    <w:rsid w:val="00AF0098"/>
    <w:rsid w:val="00B50657"/>
    <w:rsid w:val="00B82F78"/>
    <w:rsid w:val="00B9045A"/>
    <w:rsid w:val="00B91F53"/>
    <w:rsid w:val="00BA4F7D"/>
    <w:rsid w:val="00BC0FF1"/>
    <w:rsid w:val="00C51648"/>
    <w:rsid w:val="00C660CC"/>
    <w:rsid w:val="00C72DA7"/>
    <w:rsid w:val="00CE4B66"/>
    <w:rsid w:val="00D168F3"/>
    <w:rsid w:val="00D81A5B"/>
    <w:rsid w:val="00D926BF"/>
    <w:rsid w:val="00DB581C"/>
    <w:rsid w:val="00E14C41"/>
    <w:rsid w:val="00E237FE"/>
    <w:rsid w:val="00E34406"/>
    <w:rsid w:val="00E45A61"/>
    <w:rsid w:val="00F148FD"/>
    <w:rsid w:val="00F23547"/>
    <w:rsid w:val="00F31332"/>
    <w:rsid w:val="00F456EA"/>
    <w:rsid w:val="00F73B67"/>
    <w:rsid w:val="00F763F6"/>
    <w:rsid w:val="00F95D75"/>
    <w:rsid w:val="00FC766B"/>
    <w:rsid w:val="481E19D5"/>
    <w:rsid w:val="4BBA5794"/>
    <w:rsid w:val="675156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5"/>
    <w:unhideWhenUsed/>
    <w:qFormat/>
    <w:uiPriority w:val="0"/>
    <w:pPr>
      <w:keepNext/>
      <w:keepLines/>
      <w:spacing w:before="260" w:after="260" w:line="416" w:lineRule="auto"/>
      <w:jc w:val="center"/>
      <w:outlineLvl w:val="2"/>
    </w:pPr>
    <w:rPr>
      <w:rFonts w:eastAsia="宋体"/>
      <w:b/>
      <w:bCs/>
      <w:sz w:val="32"/>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4"/>
    <w:qFormat/>
    <w:uiPriority w:val="0"/>
    <w:pPr>
      <w:jc w:val="left"/>
    </w:pPr>
  </w:style>
  <w:style w:type="paragraph" w:styleId="4">
    <w:name w:val="Plain Text"/>
    <w:basedOn w:val="1"/>
    <w:link w:val="19"/>
    <w:uiPriority w:val="0"/>
    <w:rPr>
      <w:rFonts w:ascii="宋体" w:hAnsi="Courier New" w:eastAsia="宋体" w:cs="Courier New"/>
      <w:szCs w:val="21"/>
    </w:rPr>
  </w:style>
  <w:style w:type="paragraph" w:styleId="5">
    <w:name w:val="Body Text Indent 2"/>
    <w:basedOn w:val="1"/>
    <w:link w:val="23"/>
    <w:qFormat/>
    <w:uiPriority w:val="0"/>
    <w:pPr>
      <w:spacing w:after="120" w:line="480" w:lineRule="auto"/>
      <w:ind w:left="420" w:leftChars="200"/>
    </w:pPr>
    <w:rPr>
      <w:rFonts w:ascii="Times New Roman" w:hAnsi="Times New Roman" w:eastAsia="宋体" w:cs="Times New Roman"/>
      <w:szCs w:val="20"/>
    </w:rPr>
  </w:style>
  <w:style w:type="paragraph" w:styleId="6">
    <w:name w:val="Balloon Text"/>
    <w:basedOn w:val="1"/>
    <w:link w:val="22"/>
    <w:semiHidden/>
    <w:unhideWhenUsed/>
    <w:qFormat/>
    <w:uiPriority w:val="99"/>
    <w:rPr>
      <w:sz w:val="18"/>
      <w:szCs w:val="18"/>
    </w:rPr>
  </w:style>
  <w:style w:type="paragraph" w:styleId="7">
    <w:name w:val="footer"/>
    <w:basedOn w:val="1"/>
    <w:link w:val="16"/>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8">
    <w:name w:val="Normal (Web)"/>
    <w:basedOn w:val="1"/>
    <w:qFormat/>
    <w:uiPriority w:val="99"/>
    <w:pPr>
      <w:widowControl/>
      <w:spacing w:before="100" w:beforeAutospacing="1" w:after="100" w:afterAutospacing="1" w:line="360" w:lineRule="auto"/>
      <w:jc w:val="left"/>
    </w:pPr>
    <w:rPr>
      <w:rFonts w:ascii="宋体" w:hAnsi="宋体" w:eastAsia="宋体" w:cs="宋体"/>
      <w:kern w:val="0"/>
      <w:szCs w:val="21"/>
    </w:rPr>
  </w:style>
  <w:style w:type="paragraph" w:styleId="9">
    <w:name w:val="Title"/>
    <w:basedOn w:val="1"/>
    <w:next w:val="1"/>
    <w:link w:val="21"/>
    <w:qFormat/>
    <w:uiPriority w:val="0"/>
    <w:pPr>
      <w:widowControl/>
      <w:spacing w:before="240" w:after="60"/>
      <w:jc w:val="center"/>
      <w:outlineLvl w:val="0"/>
    </w:pPr>
    <w:rPr>
      <w:rFonts w:ascii="等线 Light" w:hAnsi="等线 Light" w:eastAsia="宋体" w:cs="Times New Roman"/>
      <w:b/>
      <w:bCs/>
      <w:kern w:val="0"/>
      <w:sz w:val="32"/>
      <w:szCs w:val="32"/>
    </w:rPr>
  </w:style>
  <w:style w:type="table" w:styleId="11">
    <w:name w:val="Table Grid"/>
    <w:basedOn w:val="10"/>
    <w:qFormat/>
    <w:uiPriority w:val="39"/>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styleId="14">
    <w:name w:val="Hyperlink"/>
    <w:qFormat/>
    <w:uiPriority w:val="0"/>
    <w:rPr>
      <w:color w:val="0000FF"/>
      <w:u w:val="single"/>
    </w:rPr>
  </w:style>
  <w:style w:type="character" w:customStyle="1" w:styleId="15">
    <w:name w:val="标题 3 字符"/>
    <w:basedOn w:val="12"/>
    <w:link w:val="2"/>
    <w:qFormat/>
    <w:uiPriority w:val="0"/>
    <w:rPr>
      <w:rFonts w:eastAsia="宋体"/>
      <w:b/>
      <w:bCs/>
      <w:sz w:val="32"/>
      <w:szCs w:val="32"/>
    </w:rPr>
  </w:style>
  <w:style w:type="character" w:customStyle="1" w:styleId="16">
    <w:name w:val="页脚 字符"/>
    <w:basedOn w:val="12"/>
    <w:link w:val="7"/>
    <w:qFormat/>
    <w:uiPriority w:val="0"/>
    <w:rPr>
      <w:rFonts w:ascii="Times New Roman" w:hAnsi="Times New Roman" w:eastAsia="宋体" w:cs="Times New Roman"/>
      <w:sz w:val="18"/>
      <w:szCs w:val="18"/>
    </w:rPr>
  </w:style>
  <w:style w:type="paragraph" w:customStyle="1" w:styleId="17">
    <w:name w:val="普通 (Web)"/>
    <w:basedOn w:val="1"/>
    <w:link w:val="18"/>
    <w:qFormat/>
    <w:uiPriority w:val="0"/>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18">
    <w:name w:val="普通 (Web) Char"/>
    <w:link w:val="17"/>
    <w:qFormat/>
    <w:uiPriority w:val="0"/>
    <w:rPr>
      <w:rFonts w:ascii="宋体" w:hAnsi="宋体" w:eastAsia="宋体" w:cs="Times New Roman"/>
      <w:color w:val="000000"/>
      <w:kern w:val="0"/>
      <w:sz w:val="24"/>
      <w:szCs w:val="24"/>
    </w:rPr>
  </w:style>
  <w:style w:type="character" w:customStyle="1" w:styleId="19">
    <w:name w:val="纯文本 字符"/>
    <w:basedOn w:val="12"/>
    <w:link w:val="4"/>
    <w:qFormat/>
    <w:uiPriority w:val="0"/>
    <w:rPr>
      <w:rFonts w:ascii="宋体" w:hAnsi="Courier New" w:eastAsia="宋体" w:cs="Courier New"/>
      <w:szCs w:val="21"/>
    </w:rPr>
  </w:style>
  <w:style w:type="paragraph" w:styleId="20">
    <w:name w:val="List Paragraph"/>
    <w:basedOn w:val="1"/>
    <w:qFormat/>
    <w:uiPriority w:val="34"/>
    <w:pPr>
      <w:ind w:firstLine="420" w:firstLineChars="200"/>
    </w:pPr>
  </w:style>
  <w:style w:type="character" w:customStyle="1" w:styleId="21">
    <w:name w:val="标题 字符"/>
    <w:basedOn w:val="12"/>
    <w:link w:val="9"/>
    <w:qFormat/>
    <w:uiPriority w:val="0"/>
    <w:rPr>
      <w:rFonts w:ascii="等线 Light" w:hAnsi="等线 Light" w:eastAsia="宋体" w:cs="Times New Roman"/>
      <w:b/>
      <w:bCs/>
      <w:kern w:val="0"/>
      <w:sz w:val="32"/>
      <w:szCs w:val="32"/>
    </w:rPr>
  </w:style>
  <w:style w:type="character" w:customStyle="1" w:styleId="22">
    <w:name w:val="批注框文本 字符"/>
    <w:basedOn w:val="12"/>
    <w:link w:val="6"/>
    <w:semiHidden/>
    <w:qFormat/>
    <w:uiPriority w:val="99"/>
    <w:rPr>
      <w:sz w:val="18"/>
      <w:szCs w:val="18"/>
    </w:rPr>
  </w:style>
  <w:style w:type="character" w:customStyle="1" w:styleId="23">
    <w:name w:val="正文文本缩进 2 字符"/>
    <w:basedOn w:val="12"/>
    <w:link w:val="5"/>
    <w:qFormat/>
    <w:uiPriority w:val="0"/>
    <w:rPr>
      <w:rFonts w:ascii="Times New Roman" w:hAnsi="Times New Roman" w:eastAsia="宋体" w:cs="Times New Roman"/>
      <w:szCs w:val="20"/>
    </w:rPr>
  </w:style>
  <w:style w:type="character" w:customStyle="1" w:styleId="24">
    <w:name w:val="批注文字 字符1"/>
    <w:link w:val="3"/>
    <w:qFormat/>
    <w:uiPriority w:val="0"/>
  </w:style>
  <w:style w:type="character" w:customStyle="1" w:styleId="25">
    <w:name w:val="批注文字 字符"/>
    <w:basedOn w:val="12"/>
    <w:semiHidden/>
    <w:qFormat/>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4755</Words>
  <Characters>5004</Characters>
  <Lines>37</Lines>
  <Paragraphs>10</Paragraphs>
  <TotalTime>0</TotalTime>
  <ScaleCrop>false</ScaleCrop>
  <LinksUpToDate>false</LinksUpToDate>
  <CharactersWithSpaces>6288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2019-03-16T06:20:00Z</dcterms:created>
  <dc:creator>雯 张</dc:creator>
  <cp:lastModifiedBy>豪</cp:lastModifiedBy>
  <dcterms:modified xsi:type="dcterms:W3CDTF">2026-03-22T07:51:05Z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A33A4C67178A4FDBA5CACC97704212E9_13</vt:lpwstr>
  </property>
</Properties>
</file>