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3E8C62">
      <w:pPr>
        <w:keepNext w:val="0"/>
        <w:keepLines w:val="0"/>
        <w:pageBreakBefore w:val="0"/>
        <w:widowControl w:val="0"/>
        <w:kinsoku/>
        <w:wordWrap/>
        <w:overflowPunct/>
        <w:topLinePunct w:val="0"/>
        <w:autoSpaceDE/>
        <w:autoSpaceDN/>
        <w:bidi w:val="0"/>
        <w:adjustRightInd/>
        <w:snapToGrid/>
        <w:spacing w:beforeLines="0" w:afterLines="0" w:line="360" w:lineRule="auto"/>
        <w:jc w:val="center"/>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bookmarkStart w:id="0" w:name="_GoBack"/>
    </w:p>
    <w:p w14:paraId="38E30761">
      <w:pPr>
        <w:spacing w:before="0" w:beforeLines="0" w:after="0" w:afterLines="0" w:line="360" w:lineRule="auto"/>
        <w:jc w:val="center"/>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pacing w:val="57"/>
          <w:sz w:val="24"/>
          <w:szCs w:val="24"/>
          <w14:textFill>
            <w14:solidFill>
              <w14:schemeClr w14:val="tx1"/>
            </w14:solidFill>
          </w14:textFill>
        </w:rPr>
        <w:t>危险废物委托处置服务</w:t>
      </w:r>
      <w:r>
        <w:rPr>
          <w:rFonts w:hint="eastAsia" w:ascii="微软雅黑" w:hAnsi="微软雅黑" w:eastAsia="微软雅黑" w:cs="微软雅黑"/>
          <w:b/>
          <w:bCs/>
          <w:color w:val="000000" w:themeColor="text1"/>
          <w:spacing w:val="57"/>
          <w:sz w:val="24"/>
          <w:szCs w:val="24"/>
          <w:lang w:eastAsia="zh-CN"/>
          <w14:textFill>
            <w14:solidFill>
              <w14:schemeClr w14:val="tx1"/>
            </w14:solidFill>
          </w14:textFill>
        </w:rPr>
        <w:t>合同</w:t>
      </w:r>
    </w:p>
    <w:p w14:paraId="5E4B9869">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4B3B74EB">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甲方（委托方）：</w:t>
      </w:r>
    </w:p>
    <w:p w14:paraId="0E6ECC75">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法</w:t>
      </w:r>
      <w:r>
        <w:rPr>
          <w:rFonts w:hint="eastAsia" w:ascii="微软雅黑" w:hAnsi="微软雅黑" w:eastAsia="微软雅黑" w:cs="微软雅黑"/>
          <w:b/>
          <w:bCs/>
          <w:color w:val="000000" w:themeColor="text1"/>
          <w:sz w:val="24"/>
          <w:szCs w:val="24"/>
          <w:lang w:eastAsia="zh-CN"/>
          <w14:textFill>
            <w14:solidFill>
              <w14:schemeClr w14:val="tx1"/>
            </w14:solidFill>
          </w14:textFill>
        </w:rPr>
        <w:t>定</w:t>
      </w:r>
      <w:r>
        <w:rPr>
          <w:rFonts w:hint="eastAsia" w:ascii="微软雅黑" w:hAnsi="微软雅黑" w:eastAsia="微软雅黑" w:cs="微软雅黑"/>
          <w:b/>
          <w:bCs/>
          <w:color w:val="000000" w:themeColor="text1"/>
          <w:sz w:val="24"/>
          <w:szCs w:val="24"/>
          <w14:textFill>
            <w14:solidFill>
              <w14:schemeClr w14:val="tx1"/>
            </w14:solidFill>
          </w14:textFill>
        </w:rPr>
        <w:t>代表人：</w:t>
      </w:r>
    </w:p>
    <w:p w14:paraId="4B2463E8">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统一社会信用代码：</w:t>
      </w:r>
    </w:p>
    <w:p w14:paraId="6AA042EE">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p>
    <w:p w14:paraId="1ED5A651">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乙方（受托方）：</w:t>
      </w:r>
    </w:p>
    <w:p w14:paraId="47E9264C">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法定代表人：</w:t>
      </w:r>
    </w:p>
    <w:p w14:paraId="49B5A6DD">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统一社会信用代码：</w:t>
      </w:r>
    </w:p>
    <w:p w14:paraId="59BF2E44">
      <w:pPr>
        <w:keepNext w:val="0"/>
        <w:keepLines w:val="0"/>
        <w:pageBreakBefore w:val="0"/>
        <w:kinsoku/>
        <w:wordWrap/>
        <w:overflowPunct/>
        <w:topLinePunct w:val="0"/>
        <w:bidi w:val="0"/>
        <w:snapToGrid/>
        <w:spacing w:beforeLines="0" w:afterLines="0" w:line="360" w:lineRule="auto"/>
        <w:ind w:left="0"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288557FD">
      <w:pPr>
        <w:keepNext w:val="0"/>
        <w:keepLines w:val="0"/>
        <w:pageBreakBefore w:val="0"/>
        <w:kinsoku/>
        <w:wordWrap/>
        <w:overflowPunct/>
        <w:topLinePunct w:val="0"/>
        <w:bidi w:val="0"/>
        <w:snapToGrid/>
        <w:spacing w:beforeLines="0" w:afterLines="0" w:line="360" w:lineRule="auto"/>
        <w:ind w:left="0" w:firstLine="496"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pacing w:val="4"/>
          <w:sz w:val="24"/>
          <w:szCs w:val="24"/>
          <w14:textFill>
            <w14:solidFill>
              <w14:schemeClr w14:val="tx1"/>
            </w14:solidFill>
          </w14:textFill>
        </w:rPr>
        <w:t>根据《中华人民共和国固体废物污染环境防治法》、《危险废物转移联单管理办法》等有关规定，甲方同意将生产、经营或其他过程中产生的危险废物委托乙方代为处置，</w:t>
      </w:r>
      <w:r>
        <w:rPr>
          <w:rFonts w:hint="eastAsia" w:ascii="微软雅黑" w:hAnsi="微软雅黑" w:eastAsia="微软雅黑" w:cs="微软雅黑"/>
          <w:color w:val="000000" w:themeColor="text1"/>
          <w:sz w:val="24"/>
          <w:szCs w:val="24"/>
          <w14:textFill>
            <w14:solidFill>
              <w14:schemeClr w14:val="tx1"/>
            </w14:solidFill>
          </w14:textFill>
        </w:rPr>
        <w:t>甲、乙双方经过友好协商，本着自愿、平等、互利的原则，就危险废物委托处置服务及相关事宜协商一致，订立</w:t>
      </w:r>
      <w:r>
        <w:rPr>
          <w:rFonts w:hint="eastAsia" w:ascii="微软雅黑" w:hAnsi="微软雅黑" w:eastAsia="微软雅黑" w:cs="微软雅黑"/>
          <w:color w:val="000000" w:themeColor="text1"/>
          <w:sz w:val="24"/>
          <w:szCs w:val="24"/>
          <w:lang w:eastAsia="zh-CN"/>
          <w14:textFill>
            <w14:solidFill>
              <w14:schemeClr w14:val="tx1"/>
            </w14:solidFill>
          </w14:textFill>
        </w:rPr>
        <w:t>本合同</w:t>
      </w:r>
      <w:r>
        <w:rPr>
          <w:rFonts w:hint="eastAsia" w:ascii="微软雅黑" w:hAnsi="微软雅黑" w:eastAsia="微软雅黑" w:cs="微软雅黑"/>
          <w:color w:val="000000" w:themeColor="text1"/>
          <w:sz w:val="24"/>
          <w:szCs w:val="24"/>
          <w14:textFill>
            <w14:solidFill>
              <w14:schemeClr w14:val="tx1"/>
            </w14:solidFill>
          </w14:textFill>
        </w:rPr>
        <w:t>，以兹共同遵守。</w:t>
      </w:r>
    </w:p>
    <w:p w14:paraId="7E4EDD19">
      <w:pPr>
        <w:keepNext w:val="0"/>
        <w:keepLines w:val="0"/>
        <w:pageBreakBefore w:val="0"/>
        <w:widowControl w:val="0"/>
        <w:numPr>
          <w:ilvl w:val="0"/>
          <w:numId w:val="1"/>
        </w:numPr>
        <w:kinsoku/>
        <w:wordWrap/>
        <w:overflowPunct/>
        <w:topLinePunct w:val="0"/>
        <w:autoSpaceDE/>
        <w:autoSpaceDN/>
        <w:bidi w:val="0"/>
        <w:adjustRightInd/>
        <w:snapToGrid/>
        <w:spacing w:beforeLines="0" w:afterLines="0" w:line="360" w:lineRule="auto"/>
        <w:ind w:left="0" w:leftChars="0" w:firstLine="480" w:firstLineChars="200"/>
        <w:textAlignment w:val="auto"/>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委托</w:t>
      </w:r>
      <w:r>
        <w:rPr>
          <w:rFonts w:hint="eastAsia" w:ascii="微软雅黑" w:hAnsi="微软雅黑" w:eastAsia="微软雅黑" w:cs="微软雅黑"/>
          <w:b/>
          <w:color w:val="000000" w:themeColor="text1"/>
          <w:sz w:val="24"/>
          <w:szCs w:val="24"/>
          <w:lang w:eastAsia="zh-CN"/>
          <w14:textFill>
            <w14:solidFill>
              <w14:schemeClr w14:val="tx1"/>
            </w14:solidFill>
          </w14:textFill>
        </w:rPr>
        <w:t>处置</w:t>
      </w:r>
      <w:r>
        <w:rPr>
          <w:rFonts w:hint="eastAsia" w:ascii="微软雅黑" w:hAnsi="微软雅黑" w:eastAsia="微软雅黑" w:cs="微软雅黑"/>
          <w:b/>
          <w:color w:val="000000" w:themeColor="text1"/>
          <w:sz w:val="24"/>
          <w:szCs w:val="24"/>
          <w14:textFill>
            <w14:solidFill>
              <w14:schemeClr w14:val="tx1"/>
            </w14:solidFill>
          </w14:textFill>
        </w:rPr>
        <w:t>内容</w:t>
      </w:r>
    </w:p>
    <w:tbl>
      <w:tblPr>
        <w:tblStyle w:val="4"/>
        <w:tblW w:w="986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11"/>
        <w:gridCol w:w="2844"/>
        <w:gridCol w:w="1476"/>
        <w:gridCol w:w="1344"/>
        <w:gridCol w:w="1260"/>
        <w:gridCol w:w="792"/>
        <w:gridCol w:w="1336"/>
      </w:tblGrid>
      <w:tr w14:paraId="22B53D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11" w:type="dxa"/>
            <w:noWrap w:val="0"/>
            <w:vAlign w:val="center"/>
          </w:tcPr>
          <w:p w14:paraId="0515F132">
            <w:pPr>
              <w:keepNext w:val="0"/>
              <w:keepLines w:val="0"/>
              <w:pageBreakBefore w:val="0"/>
              <w:widowControl w:val="0"/>
              <w:kinsoku/>
              <w:wordWrap/>
              <w:overflowPunct/>
              <w:topLinePunct w:val="0"/>
              <w:bidi w:val="0"/>
              <w:snapToGrid/>
              <w:spacing w:line="240" w:lineRule="auto"/>
              <w:ind w:left="0" w:firstLine="0" w:firstLineChars="0"/>
              <w:jc w:val="center"/>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序号</w:t>
            </w:r>
          </w:p>
        </w:tc>
        <w:tc>
          <w:tcPr>
            <w:tcW w:w="2844" w:type="dxa"/>
            <w:noWrap w:val="0"/>
            <w:vAlign w:val="center"/>
          </w:tcPr>
          <w:p w14:paraId="77207C38">
            <w:pPr>
              <w:keepNext w:val="0"/>
              <w:keepLines w:val="0"/>
              <w:pageBreakBefore w:val="0"/>
              <w:widowControl w:val="0"/>
              <w:kinsoku/>
              <w:wordWrap/>
              <w:overflowPunct/>
              <w:topLinePunct w:val="0"/>
              <w:bidi w:val="0"/>
              <w:snapToGrid/>
              <w:spacing w:line="240" w:lineRule="auto"/>
              <w:ind w:left="0" w:firstLine="0" w:firstLineChars="0"/>
              <w:jc w:val="center"/>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废物名称</w:t>
            </w:r>
          </w:p>
        </w:tc>
        <w:tc>
          <w:tcPr>
            <w:tcW w:w="1476" w:type="dxa"/>
            <w:noWrap w:val="0"/>
            <w:vAlign w:val="center"/>
          </w:tcPr>
          <w:p w14:paraId="2CCC7102">
            <w:pPr>
              <w:keepNext w:val="0"/>
              <w:keepLines w:val="0"/>
              <w:pageBreakBefore w:val="0"/>
              <w:widowControl w:val="0"/>
              <w:kinsoku/>
              <w:wordWrap/>
              <w:overflowPunct/>
              <w:topLinePunct w:val="0"/>
              <w:bidi w:val="0"/>
              <w:snapToGrid/>
              <w:spacing w:line="240" w:lineRule="auto"/>
              <w:ind w:left="0" w:firstLine="0" w:firstLineChars="0"/>
              <w:jc w:val="center"/>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废物类别</w:t>
            </w:r>
          </w:p>
        </w:tc>
        <w:tc>
          <w:tcPr>
            <w:tcW w:w="1344" w:type="dxa"/>
            <w:noWrap w:val="0"/>
            <w:vAlign w:val="center"/>
          </w:tcPr>
          <w:p w14:paraId="1BB12DF9">
            <w:pPr>
              <w:keepNext w:val="0"/>
              <w:keepLines w:val="0"/>
              <w:pageBreakBefore w:val="0"/>
              <w:widowControl w:val="0"/>
              <w:kinsoku/>
              <w:wordWrap/>
              <w:overflowPunct/>
              <w:topLinePunct w:val="0"/>
              <w:bidi w:val="0"/>
              <w:snapToGrid/>
              <w:spacing w:line="240" w:lineRule="auto"/>
              <w:ind w:left="0" w:firstLine="0" w:firstLineChars="0"/>
              <w:jc w:val="center"/>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废物代码</w:t>
            </w:r>
          </w:p>
        </w:tc>
        <w:tc>
          <w:tcPr>
            <w:tcW w:w="1260" w:type="dxa"/>
            <w:noWrap w:val="0"/>
            <w:vAlign w:val="center"/>
          </w:tcPr>
          <w:p w14:paraId="7020F91E">
            <w:pPr>
              <w:keepNext w:val="0"/>
              <w:keepLines w:val="0"/>
              <w:pageBreakBefore w:val="0"/>
              <w:widowControl w:val="0"/>
              <w:kinsoku/>
              <w:wordWrap/>
              <w:overflowPunct/>
              <w:topLinePunct w:val="0"/>
              <w:bidi w:val="0"/>
              <w:snapToGrid/>
              <w:spacing w:line="240" w:lineRule="auto"/>
              <w:ind w:left="0" w:firstLine="0" w:firstLineChars="0"/>
              <w:jc w:val="center"/>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年申报量（吨）</w:t>
            </w:r>
          </w:p>
        </w:tc>
        <w:tc>
          <w:tcPr>
            <w:tcW w:w="792" w:type="dxa"/>
            <w:noWrap w:val="0"/>
            <w:vAlign w:val="center"/>
          </w:tcPr>
          <w:p w14:paraId="1BA39F55">
            <w:pPr>
              <w:keepNext w:val="0"/>
              <w:keepLines w:val="0"/>
              <w:pageBreakBefore w:val="0"/>
              <w:widowControl w:val="0"/>
              <w:kinsoku/>
              <w:wordWrap/>
              <w:overflowPunct/>
              <w:topLinePunct w:val="0"/>
              <w:bidi w:val="0"/>
              <w:snapToGrid/>
              <w:spacing w:line="240" w:lineRule="auto"/>
              <w:ind w:left="0" w:firstLine="0" w:firstLineChars="0"/>
              <w:jc w:val="center"/>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处置单价</w:t>
            </w:r>
          </w:p>
        </w:tc>
        <w:tc>
          <w:tcPr>
            <w:tcW w:w="1336" w:type="dxa"/>
            <w:noWrap w:val="0"/>
            <w:vAlign w:val="center"/>
          </w:tcPr>
          <w:p w14:paraId="002D3A9D">
            <w:pPr>
              <w:keepNext w:val="0"/>
              <w:keepLines w:val="0"/>
              <w:pageBreakBefore w:val="0"/>
              <w:widowControl w:val="0"/>
              <w:kinsoku/>
              <w:wordWrap/>
              <w:overflowPunct/>
              <w:topLinePunct w:val="0"/>
              <w:bidi w:val="0"/>
              <w:snapToGrid/>
              <w:spacing w:line="240" w:lineRule="auto"/>
              <w:ind w:left="0" w:firstLine="0" w:firstLineChars="0"/>
              <w:jc w:val="center"/>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包装方式</w:t>
            </w:r>
          </w:p>
        </w:tc>
      </w:tr>
      <w:tr w14:paraId="6547E7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11" w:type="dxa"/>
            <w:noWrap w:val="0"/>
            <w:vAlign w:val="center"/>
          </w:tcPr>
          <w:p w14:paraId="687D56FA">
            <w:pPr>
              <w:keepNext w:val="0"/>
              <w:keepLines w:val="0"/>
              <w:pageBreakBefore w:val="0"/>
              <w:widowControl w:val="0"/>
              <w:kinsoku/>
              <w:wordWrap/>
              <w:overflowPunct/>
              <w:topLinePunct w:val="0"/>
              <w:bidi w:val="0"/>
              <w:snapToGrid/>
              <w:spacing w:line="240" w:lineRule="auto"/>
              <w:ind w:left="0" w:firstLine="0" w:firstLineChars="0"/>
              <w:jc w:val="center"/>
              <w:textAlignment w:val="auto"/>
              <w:rPr>
                <w:rFonts w:hint="eastAsia" w:ascii="微软雅黑" w:hAnsi="微软雅黑" w:eastAsia="微软雅黑" w:cs="微软雅黑"/>
                <w:color w:val="000000" w:themeColor="text1"/>
                <w:sz w:val="24"/>
                <w:szCs w:val="24"/>
                <w14:textFill>
                  <w14:solidFill>
                    <w14:schemeClr w14:val="tx1"/>
                  </w14:solidFill>
                </w14:textFill>
              </w:rPr>
            </w:pPr>
          </w:p>
        </w:tc>
        <w:tc>
          <w:tcPr>
            <w:tcW w:w="2844" w:type="dxa"/>
            <w:noWrap w:val="0"/>
            <w:vAlign w:val="center"/>
          </w:tcPr>
          <w:p w14:paraId="6E4D5507">
            <w:pPr>
              <w:keepNext w:val="0"/>
              <w:keepLines w:val="0"/>
              <w:pageBreakBefore w:val="0"/>
              <w:widowControl w:val="0"/>
              <w:kinsoku/>
              <w:wordWrap/>
              <w:overflowPunct/>
              <w:topLinePunct w:val="0"/>
              <w:autoSpaceDE w:val="0"/>
              <w:autoSpaceDN w:val="0"/>
              <w:bidi w:val="0"/>
              <w:adjustRightInd w:val="0"/>
              <w:snapToGrid/>
              <w:spacing w:line="240" w:lineRule="auto"/>
              <w:ind w:left="0" w:firstLine="0" w:firstLineChars="0"/>
              <w:jc w:val="center"/>
              <w:textAlignment w:val="auto"/>
              <w:rPr>
                <w:rFonts w:hint="eastAsia" w:ascii="微软雅黑" w:hAnsi="微软雅黑" w:eastAsia="微软雅黑" w:cs="微软雅黑"/>
                <w:color w:val="000000" w:themeColor="text1"/>
                <w:kern w:val="0"/>
                <w:sz w:val="24"/>
                <w:szCs w:val="24"/>
                <w14:textFill>
                  <w14:solidFill>
                    <w14:schemeClr w14:val="tx1"/>
                  </w14:solidFill>
                </w14:textFill>
              </w:rPr>
            </w:pPr>
          </w:p>
        </w:tc>
        <w:tc>
          <w:tcPr>
            <w:tcW w:w="1476" w:type="dxa"/>
            <w:noWrap w:val="0"/>
            <w:vAlign w:val="center"/>
          </w:tcPr>
          <w:p w14:paraId="1E5A5AC2">
            <w:pPr>
              <w:keepNext w:val="0"/>
              <w:keepLines w:val="0"/>
              <w:pageBreakBefore w:val="0"/>
              <w:widowControl w:val="0"/>
              <w:kinsoku/>
              <w:wordWrap/>
              <w:overflowPunct/>
              <w:topLinePunct w:val="0"/>
              <w:autoSpaceDE w:val="0"/>
              <w:autoSpaceDN w:val="0"/>
              <w:bidi w:val="0"/>
              <w:adjustRightInd w:val="0"/>
              <w:snapToGrid/>
              <w:spacing w:line="240" w:lineRule="auto"/>
              <w:ind w:left="0" w:firstLine="0" w:firstLineChars="0"/>
              <w:jc w:val="center"/>
              <w:textAlignment w:val="auto"/>
              <w:rPr>
                <w:rFonts w:hint="eastAsia" w:ascii="微软雅黑" w:hAnsi="微软雅黑" w:eastAsia="微软雅黑" w:cs="微软雅黑"/>
                <w:color w:val="000000" w:themeColor="text1"/>
                <w:kern w:val="0"/>
                <w:sz w:val="24"/>
                <w:szCs w:val="24"/>
                <w14:textFill>
                  <w14:solidFill>
                    <w14:schemeClr w14:val="tx1"/>
                  </w14:solidFill>
                </w14:textFill>
              </w:rPr>
            </w:pPr>
          </w:p>
        </w:tc>
        <w:tc>
          <w:tcPr>
            <w:tcW w:w="1344" w:type="dxa"/>
            <w:noWrap w:val="0"/>
            <w:vAlign w:val="center"/>
          </w:tcPr>
          <w:p w14:paraId="68628BBE">
            <w:pPr>
              <w:keepNext w:val="0"/>
              <w:keepLines w:val="0"/>
              <w:pageBreakBefore w:val="0"/>
              <w:widowControl w:val="0"/>
              <w:kinsoku/>
              <w:wordWrap/>
              <w:overflowPunct/>
              <w:topLinePunct w:val="0"/>
              <w:bidi w:val="0"/>
              <w:snapToGrid/>
              <w:spacing w:line="240" w:lineRule="auto"/>
              <w:ind w:left="0" w:firstLine="0" w:firstLineChars="0"/>
              <w:jc w:val="center"/>
              <w:textAlignment w:val="auto"/>
              <w:rPr>
                <w:rFonts w:hint="eastAsia" w:ascii="微软雅黑" w:hAnsi="微软雅黑" w:eastAsia="微软雅黑" w:cs="微软雅黑"/>
                <w:color w:val="000000" w:themeColor="text1"/>
                <w:sz w:val="24"/>
                <w:szCs w:val="24"/>
                <w14:textFill>
                  <w14:solidFill>
                    <w14:schemeClr w14:val="tx1"/>
                  </w14:solidFill>
                </w14:textFill>
              </w:rPr>
            </w:pPr>
          </w:p>
        </w:tc>
        <w:tc>
          <w:tcPr>
            <w:tcW w:w="1260" w:type="dxa"/>
            <w:noWrap w:val="0"/>
            <w:vAlign w:val="center"/>
          </w:tcPr>
          <w:p w14:paraId="60F3BF54">
            <w:pPr>
              <w:keepNext w:val="0"/>
              <w:keepLines w:val="0"/>
              <w:pageBreakBefore w:val="0"/>
              <w:widowControl w:val="0"/>
              <w:kinsoku/>
              <w:wordWrap/>
              <w:overflowPunct/>
              <w:topLinePunct w:val="0"/>
              <w:bidi w:val="0"/>
              <w:snapToGrid/>
              <w:spacing w:line="240" w:lineRule="auto"/>
              <w:ind w:left="0" w:firstLine="0" w:firstLineChars="0"/>
              <w:jc w:val="center"/>
              <w:textAlignment w:val="auto"/>
              <w:rPr>
                <w:rFonts w:hint="eastAsia" w:ascii="微软雅黑" w:hAnsi="微软雅黑" w:eastAsia="微软雅黑" w:cs="微软雅黑"/>
                <w:color w:val="000000" w:themeColor="text1"/>
                <w:sz w:val="24"/>
                <w:szCs w:val="24"/>
                <w14:textFill>
                  <w14:solidFill>
                    <w14:schemeClr w14:val="tx1"/>
                  </w14:solidFill>
                </w14:textFill>
              </w:rPr>
            </w:pPr>
          </w:p>
        </w:tc>
        <w:tc>
          <w:tcPr>
            <w:tcW w:w="792" w:type="dxa"/>
            <w:noWrap w:val="0"/>
            <w:vAlign w:val="center"/>
          </w:tcPr>
          <w:p w14:paraId="3B1DA948">
            <w:pPr>
              <w:keepNext w:val="0"/>
              <w:keepLines w:val="0"/>
              <w:pageBreakBefore w:val="0"/>
              <w:widowControl w:val="0"/>
              <w:kinsoku/>
              <w:wordWrap/>
              <w:overflowPunct/>
              <w:topLinePunct w:val="0"/>
              <w:bidi w:val="0"/>
              <w:snapToGrid/>
              <w:spacing w:line="240" w:lineRule="auto"/>
              <w:ind w:left="0" w:firstLine="0" w:firstLineChars="0"/>
              <w:jc w:val="center"/>
              <w:textAlignment w:val="auto"/>
              <w:rPr>
                <w:rFonts w:hint="eastAsia" w:ascii="微软雅黑" w:hAnsi="微软雅黑" w:eastAsia="微软雅黑" w:cs="微软雅黑"/>
                <w:color w:val="000000" w:themeColor="text1"/>
                <w:sz w:val="24"/>
                <w:szCs w:val="24"/>
                <w14:textFill>
                  <w14:solidFill>
                    <w14:schemeClr w14:val="tx1"/>
                  </w14:solidFill>
                </w14:textFill>
              </w:rPr>
            </w:pPr>
          </w:p>
        </w:tc>
        <w:tc>
          <w:tcPr>
            <w:tcW w:w="1336" w:type="dxa"/>
            <w:noWrap w:val="0"/>
            <w:vAlign w:val="center"/>
          </w:tcPr>
          <w:p w14:paraId="2FDC203C">
            <w:pPr>
              <w:keepNext w:val="0"/>
              <w:keepLines w:val="0"/>
              <w:pageBreakBefore w:val="0"/>
              <w:widowControl w:val="0"/>
              <w:kinsoku/>
              <w:wordWrap/>
              <w:overflowPunct/>
              <w:topLinePunct w:val="0"/>
              <w:bidi w:val="0"/>
              <w:snapToGrid/>
              <w:spacing w:line="240" w:lineRule="auto"/>
              <w:ind w:left="0" w:firstLine="0" w:firstLineChars="0"/>
              <w:jc w:val="center"/>
              <w:textAlignment w:val="auto"/>
              <w:rPr>
                <w:rFonts w:hint="eastAsia" w:ascii="微软雅黑" w:hAnsi="微软雅黑" w:eastAsia="微软雅黑" w:cs="微软雅黑"/>
                <w:color w:val="000000" w:themeColor="text1"/>
                <w:sz w:val="24"/>
                <w:szCs w:val="24"/>
                <w14:textFill>
                  <w14:solidFill>
                    <w14:schemeClr w14:val="tx1"/>
                  </w14:solidFill>
                </w14:textFill>
              </w:rPr>
            </w:pPr>
          </w:p>
        </w:tc>
      </w:tr>
      <w:tr w14:paraId="65B8A7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11" w:type="dxa"/>
            <w:noWrap w:val="0"/>
            <w:vAlign w:val="center"/>
          </w:tcPr>
          <w:p w14:paraId="7A6F45D0">
            <w:pPr>
              <w:keepNext w:val="0"/>
              <w:keepLines w:val="0"/>
              <w:pageBreakBefore w:val="0"/>
              <w:widowControl w:val="0"/>
              <w:kinsoku/>
              <w:wordWrap/>
              <w:overflowPunct/>
              <w:topLinePunct w:val="0"/>
              <w:bidi w:val="0"/>
              <w:snapToGrid/>
              <w:spacing w:line="240" w:lineRule="auto"/>
              <w:ind w:left="0" w:firstLine="0" w:firstLineChars="0"/>
              <w:jc w:val="center"/>
              <w:textAlignment w:val="auto"/>
              <w:rPr>
                <w:rFonts w:hint="eastAsia" w:ascii="微软雅黑" w:hAnsi="微软雅黑" w:eastAsia="微软雅黑" w:cs="微软雅黑"/>
                <w:color w:val="000000" w:themeColor="text1"/>
                <w:sz w:val="24"/>
                <w:szCs w:val="24"/>
                <w14:textFill>
                  <w14:solidFill>
                    <w14:schemeClr w14:val="tx1"/>
                  </w14:solidFill>
                </w14:textFill>
              </w:rPr>
            </w:pPr>
          </w:p>
        </w:tc>
        <w:tc>
          <w:tcPr>
            <w:tcW w:w="2844" w:type="dxa"/>
            <w:noWrap w:val="0"/>
            <w:vAlign w:val="center"/>
          </w:tcPr>
          <w:p w14:paraId="52342FD0">
            <w:pPr>
              <w:keepNext w:val="0"/>
              <w:keepLines w:val="0"/>
              <w:pageBreakBefore w:val="0"/>
              <w:widowControl w:val="0"/>
              <w:kinsoku/>
              <w:wordWrap/>
              <w:overflowPunct/>
              <w:topLinePunct w:val="0"/>
              <w:bidi w:val="0"/>
              <w:snapToGrid/>
              <w:spacing w:line="240" w:lineRule="auto"/>
              <w:ind w:left="0" w:firstLine="0" w:firstLineChars="0"/>
              <w:jc w:val="center"/>
              <w:textAlignment w:val="auto"/>
              <w:rPr>
                <w:rFonts w:hint="eastAsia" w:ascii="微软雅黑" w:hAnsi="微软雅黑" w:eastAsia="微软雅黑" w:cs="微软雅黑"/>
                <w:color w:val="000000" w:themeColor="text1"/>
                <w:sz w:val="24"/>
                <w:szCs w:val="24"/>
                <w14:textFill>
                  <w14:solidFill>
                    <w14:schemeClr w14:val="tx1"/>
                  </w14:solidFill>
                </w14:textFill>
              </w:rPr>
            </w:pPr>
          </w:p>
        </w:tc>
        <w:tc>
          <w:tcPr>
            <w:tcW w:w="1476" w:type="dxa"/>
            <w:noWrap w:val="0"/>
            <w:vAlign w:val="center"/>
          </w:tcPr>
          <w:p w14:paraId="5B5256D2">
            <w:pPr>
              <w:keepNext w:val="0"/>
              <w:keepLines w:val="0"/>
              <w:pageBreakBefore w:val="0"/>
              <w:widowControl w:val="0"/>
              <w:kinsoku/>
              <w:wordWrap/>
              <w:overflowPunct/>
              <w:topLinePunct w:val="0"/>
              <w:autoSpaceDE w:val="0"/>
              <w:autoSpaceDN w:val="0"/>
              <w:bidi w:val="0"/>
              <w:adjustRightInd w:val="0"/>
              <w:snapToGrid/>
              <w:spacing w:line="240" w:lineRule="auto"/>
              <w:ind w:left="0" w:firstLine="0" w:firstLineChars="0"/>
              <w:jc w:val="center"/>
              <w:textAlignment w:val="auto"/>
              <w:rPr>
                <w:rFonts w:hint="eastAsia" w:ascii="微软雅黑" w:hAnsi="微软雅黑" w:eastAsia="微软雅黑" w:cs="微软雅黑"/>
                <w:color w:val="000000" w:themeColor="text1"/>
                <w:kern w:val="0"/>
                <w:sz w:val="24"/>
                <w:szCs w:val="24"/>
                <w14:textFill>
                  <w14:solidFill>
                    <w14:schemeClr w14:val="tx1"/>
                  </w14:solidFill>
                </w14:textFill>
              </w:rPr>
            </w:pPr>
          </w:p>
        </w:tc>
        <w:tc>
          <w:tcPr>
            <w:tcW w:w="1344" w:type="dxa"/>
            <w:noWrap w:val="0"/>
            <w:vAlign w:val="center"/>
          </w:tcPr>
          <w:p w14:paraId="721A640D">
            <w:pPr>
              <w:keepNext w:val="0"/>
              <w:keepLines w:val="0"/>
              <w:pageBreakBefore w:val="0"/>
              <w:widowControl w:val="0"/>
              <w:kinsoku/>
              <w:wordWrap/>
              <w:overflowPunct/>
              <w:topLinePunct w:val="0"/>
              <w:bidi w:val="0"/>
              <w:snapToGrid/>
              <w:spacing w:line="240" w:lineRule="auto"/>
              <w:ind w:left="0" w:firstLine="0" w:firstLineChars="0"/>
              <w:jc w:val="center"/>
              <w:textAlignment w:val="auto"/>
              <w:rPr>
                <w:rFonts w:hint="eastAsia" w:ascii="微软雅黑" w:hAnsi="微软雅黑" w:eastAsia="微软雅黑" w:cs="微软雅黑"/>
                <w:color w:val="000000" w:themeColor="text1"/>
                <w:sz w:val="24"/>
                <w:szCs w:val="24"/>
                <w14:textFill>
                  <w14:solidFill>
                    <w14:schemeClr w14:val="tx1"/>
                  </w14:solidFill>
                </w14:textFill>
              </w:rPr>
            </w:pPr>
          </w:p>
        </w:tc>
        <w:tc>
          <w:tcPr>
            <w:tcW w:w="1260" w:type="dxa"/>
            <w:noWrap w:val="0"/>
            <w:vAlign w:val="center"/>
          </w:tcPr>
          <w:p w14:paraId="1FCFA7C8">
            <w:pPr>
              <w:keepNext w:val="0"/>
              <w:keepLines w:val="0"/>
              <w:pageBreakBefore w:val="0"/>
              <w:widowControl w:val="0"/>
              <w:kinsoku/>
              <w:wordWrap/>
              <w:overflowPunct/>
              <w:topLinePunct w:val="0"/>
              <w:bidi w:val="0"/>
              <w:snapToGrid/>
              <w:spacing w:line="240" w:lineRule="auto"/>
              <w:ind w:left="0" w:firstLine="0" w:firstLineChars="0"/>
              <w:jc w:val="center"/>
              <w:textAlignment w:val="auto"/>
              <w:rPr>
                <w:rFonts w:hint="eastAsia" w:ascii="微软雅黑" w:hAnsi="微软雅黑" w:eastAsia="微软雅黑" w:cs="微软雅黑"/>
                <w:color w:val="000000" w:themeColor="text1"/>
                <w:sz w:val="24"/>
                <w:szCs w:val="24"/>
                <w14:textFill>
                  <w14:solidFill>
                    <w14:schemeClr w14:val="tx1"/>
                  </w14:solidFill>
                </w14:textFill>
              </w:rPr>
            </w:pPr>
          </w:p>
        </w:tc>
        <w:tc>
          <w:tcPr>
            <w:tcW w:w="792" w:type="dxa"/>
            <w:noWrap w:val="0"/>
            <w:vAlign w:val="center"/>
          </w:tcPr>
          <w:p w14:paraId="197C226E">
            <w:pPr>
              <w:keepNext w:val="0"/>
              <w:keepLines w:val="0"/>
              <w:pageBreakBefore w:val="0"/>
              <w:widowControl w:val="0"/>
              <w:kinsoku/>
              <w:wordWrap/>
              <w:overflowPunct/>
              <w:topLinePunct w:val="0"/>
              <w:bidi w:val="0"/>
              <w:snapToGrid/>
              <w:spacing w:line="240" w:lineRule="auto"/>
              <w:ind w:left="0" w:firstLine="0" w:firstLineChars="0"/>
              <w:jc w:val="center"/>
              <w:textAlignment w:val="auto"/>
              <w:rPr>
                <w:rFonts w:hint="eastAsia" w:ascii="微软雅黑" w:hAnsi="微软雅黑" w:eastAsia="微软雅黑" w:cs="微软雅黑"/>
                <w:color w:val="000000" w:themeColor="text1"/>
                <w:sz w:val="24"/>
                <w:szCs w:val="24"/>
                <w14:textFill>
                  <w14:solidFill>
                    <w14:schemeClr w14:val="tx1"/>
                  </w14:solidFill>
                </w14:textFill>
              </w:rPr>
            </w:pPr>
          </w:p>
        </w:tc>
        <w:tc>
          <w:tcPr>
            <w:tcW w:w="1336" w:type="dxa"/>
            <w:noWrap w:val="0"/>
            <w:vAlign w:val="center"/>
          </w:tcPr>
          <w:p w14:paraId="2C21C144">
            <w:pPr>
              <w:keepNext w:val="0"/>
              <w:keepLines w:val="0"/>
              <w:pageBreakBefore w:val="0"/>
              <w:widowControl w:val="0"/>
              <w:kinsoku/>
              <w:wordWrap/>
              <w:overflowPunct/>
              <w:topLinePunct w:val="0"/>
              <w:bidi w:val="0"/>
              <w:snapToGrid/>
              <w:spacing w:line="240" w:lineRule="auto"/>
              <w:ind w:left="0" w:firstLine="0" w:firstLineChars="0"/>
              <w:jc w:val="center"/>
              <w:textAlignment w:val="auto"/>
              <w:rPr>
                <w:rFonts w:hint="eastAsia" w:ascii="微软雅黑" w:hAnsi="微软雅黑" w:eastAsia="微软雅黑" w:cs="微软雅黑"/>
                <w:color w:val="000000" w:themeColor="text1"/>
                <w:sz w:val="24"/>
                <w:szCs w:val="24"/>
                <w14:textFill>
                  <w14:solidFill>
                    <w14:schemeClr w14:val="tx1"/>
                  </w14:solidFill>
                </w14:textFill>
              </w:rPr>
            </w:pPr>
          </w:p>
        </w:tc>
      </w:tr>
      <w:tr w14:paraId="1E2622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11" w:type="dxa"/>
            <w:noWrap w:val="0"/>
            <w:vAlign w:val="center"/>
          </w:tcPr>
          <w:p w14:paraId="73F37186">
            <w:pPr>
              <w:keepNext w:val="0"/>
              <w:keepLines w:val="0"/>
              <w:pageBreakBefore w:val="0"/>
              <w:widowControl w:val="0"/>
              <w:kinsoku/>
              <w:wordWrap/>
              <w:overflowPunct/>
              <w:topLinePunct w:val="0"/>
              <w:bidi w:val="0"/>
              <w:snapToGrid/>
              <w:spacing w:line="240" w:lineRule="auto"/>
              <w:ind w:left="0" w:firstLine="0" w:firstLineChars="0"/>
              <w:jc w:val="center"/>
              <w:textAlignment w:val="auto"/>
              <w:rPr>
                <w:rFonts w:hint="eastAsia" w:ascii="微软雅黑" w:hAnsi="微软雅黑" w:eastAsia="微软雅黑" w:cs="微软雅黑"/>
                <w:color w:val="000000" w:themeColor="text1"/>
                <w:sz w:val="24"/>
                <w:szCs w:val="24"/>
                <w14:textFill>
                  <w14:solidFill>
                    <w14:schemeClr w14:val="tx1"/>
                  </w14:solidFill>
                </w14:textFill>
              </w:rPr>
            </w:pPr>
          </w:p>
        </w:tc>
        <w:tc>
          <w:tcPr>
            <w:tcW w:w="2844" w:type="dxa"/>
            <w:noWrap w:val="0"/>
            <w:vAlign w:val="center"/>
          </w:tcPr>
          <w:p w14:paraId="35BF2BB7">
            <w:pPr>
              <w:keepNext w:val="0"/>
              <w:keepLines w:val="0"/>
              <w:pageBreakBefore w:val="0"/>
              <w:widowControl w:val="0"/>
              <w:kinsoku/>
              <w:wordWrap/>
              <w:overflowPunct/>
              <w:topLinePunct w:val="0"/>
              <w:autoSpaceDE w:val="0"/>
              <w:autoSpaceDN w:val="0"/>
              <w:bidi w:val="0"/>
              <w:adjustRightInd w:val="0"/>
              <w:snapToGrid/>
              <w:spacing w:line="240" w:lineRule="auto"/>
              <w:ind w:left="0" w:firstLine="0" w:firstLineChars="0"/>
              <w:jc w:val="center"/>
              <w:textAlignment w:val="auto"/>
              <w:rPr>
                <w:rFonts w:hint="eastAsia" w:ascii="微软雅黑" w:hAnsi="微软雅黑" w:eastAsia="微软雅黑" w:cs="微软雅黑"/>
                <w:color w:val="000000" w:themeColor="text1"/>
                <w:kern w:val="0"/>
                <w:sz w:val="24"/>
                <w:szCs w:val="24"/>
                <w14:textFill>
                  <w14:solidFill>
                    <w14:schemeClr w14:val="tx1"/>
                  </w14:solidFill>
                </w14:textFill>
              </w:rPr>
            </w:pPr>
          </w:p>
        </w:tc>
        <w:tc>
          <w:tcPr>
            <w:tcW w:w="1476" w:type="dxa"/>
            <w:noWrap w:val="0"/>
            <w:vAlign w:val="center"/>
          </w:tcPr>
          <w:p w14:paraId="32C32938">
            <w:pPr>
              <w:keepNext w:val="0"/>
              <w:keepLines w:val="0"/>
              <w:pageBreakBefore w:val="0"/>
              <w:widowControl w:val="0"/>
              <w:kinsoku/>
              <w:wordWrap/>
              <w:overflowPunct/>
              <w:topLinePunct w:val="0"/>
              <w:autoSpaceDE w:val="0"/>
              <w:autoSpaceDN w:val="0"/>
              <w:bidi w:val="0"/>
              <w:adjustRightInd w:val="0"/>
              <w:snapToGrid/>
              <w:spacing w:line="240" w:lineRule="auto"/>
              <w:ind w:left="0" w:firstLine="0" w:firstLineChars="0"/>
              <w:jc w:val="center"/>
              <w:textAlignment w:val="auto"/>
              <w:rPr>
                <w:rFonts w:hint="eastAsia" w:ascii="微软雅黑" w:hAnsi="微软雅黑" w:eastAsia="微软雅黑" w:cs="微软雅黑"/>
                <w:color w:val="000000" w:themeColor="text1"/>
                <w:kern w:val="0"/>
                <w:sz w:val="24"/>
                <w:szCs w:val="24"/>
                <w14:textFill>
                  <w14:solidFill>
                    <w14:schemeClr w14:val="tx1"/>
                  </w14:solidFill>
                </w14:textFill>
              </w:rPr>
            </w:pPr>
          </w:p>
        </w:tc>
        <w:tc>
          <w:tcPr>
            <w:tcW w:w="1344" w:type="dxa"/>
            <w:noWrap w:val="0"/>
            <w:vAlign w:val="center"/>
          </w:tcPr>
          <w:p w14:paraId="72A32619">
            <w:pPr>
              <w:keepNext w:val="0"/>
              <w:keepLines w:val="0"/>
              <w:pageBreakBefore w:val="0"/>
              <w:widowControl w:val="0"/>
              <w:kinsoku/>
              <w:wordWrap/>
              <w:overflowPunct/>
              <w:topLinePunct w:val="0"/>
              <w:bidi w:val="0"/>
              <w:snapToGrid/>
              <w:spacing w:line="240" w:lineRule="auto"/>
              <w:ind w:left="0" w:firstLine="0" w:firstLineChars="0"/>
              <w:jc w:val="center"/>
              <w:textAlignment w:val="auto"/>
              <w:rPr>
                <w:rFonts w:hint="eastAsia" w:ascii="微软雅黑" w:hAnsi="微软雅黑" w:eastAsia="微软雅黑" w:cs="微软雅黑"/>
                <w:color w:val="000000" w:themeColor="text1"/>
                <w:sz w:val="24"/>
                <w:szCs w:val="24"/>
                <w14:textFill>
                  <w14:solidFill>
                    <w14:schemeClr w14:val="tx1"/>
                  </w14:solidFill>
                </w14:textFill>
              </w:rPr>
            </w:pPr>
          </w:p>
        </w:tc>
        <w:tc>
          <w:tcPr>
            <w:tcW w:w="1260" w:type="dxa"/>
            <w:noWrap w:val="0"/>
            <w:vAlign w:val="center"/>
          </w:tcPr>
          <w:p w14:paraId="135032E7">
            <w:pPr>
              <w:keepNext w:val="0"/>
              <w:keepLines w:val="0"/>
              <w:pageBreakBefore w:val="0"/>
              <w:widowControl w:val="0"/>
              <w:kinsoku/>
              <w:wordWrap/>
              <w:overflowPunct/>
              <w:topLinePunct w:val="0"/>
              <w:bidi w:val="0"/>
              <w:snapToGrid/>
              <w:spacing w:line="240" w:lineRule="auto"/>
              <w:ind w:left="0" w:firstLine="0" w:firstLineChars="0"/>
              <w:jc w:val="center"/>
              <w:textAlignment w:val="auto"/>
              <w:rPr>
                <w:rFonts w:hint="eastAsia" w:ascii="微软雅黑" w:hAnsi="微软雅黑" w:eastAsia="微软雅黑" w:cs="微软雅黑"/>
                <w:color w:val="000000" w:themeColor="text1"/>
                <w:sz w:val="24"/>
                <w:szCs w:val="24"/>
                <w14:textFill>
                  <w14:solidFill>
                    <w14:schemeClr w14:val="tx1"/>
                  </w14:solidFill>
                </w14:textFill>
              </w:rPr>
            </w:pPr>
          </w:p>
        </w:tc>
        <w:tc>
          <w:tcPr>
            <w:tcW w:w="792" w:type="dxa"/>
            <w:noWrap w:val="0"/>
            <w:vAlign w:val="center"/>
          </w:tcPr>
          <w:p w14:paraId="197415AA">
            <w:pPr>
              <w:keepNext w:val="0"/>
              <w:keepLines w:val="0"/>
              <w:pageBreakBefore w:val="0"/>
              <w:widowControl w:val="0"/>
              <w:kinsoku/>
              <w:wordWrap/>
              <w:overflowPunct/>
              <w:topLinePunct w:val="0"/>
              <w:bidi w:val="0"/>
              <w:snapToGrid/>
              <w:spacing w:line="240" w:lineRule="auto"/>
              <w:ind w:left="0" w:firstLine="0" w:firstLineChars="0"/>
              <w:jc w:val="center"/>
              <w:textAlignment w:val="auto"/>
              <w:rPr>
                <w:rFonts w:hint="eastAsia" w:ascii="微软雅黑" w:hAnsi="微软雅黑" w:eastAsia="微软雅黑" w:cs="微软雅黑"/>
                <w:color w:val="000000" w:themeColor="text1"/>
                <w:sz w:val="24"/>
                <w:szCs w:val="24"/>
                <w14:textFill>
                  <w14:solidFill>
                    <w14:schemeClr w14:val="tx1"/>
                  </w14:solidFill>
                </w14:textFill>
              </w:rPr>
            </w:pPr>
          </w:p>
        </w:tc>
        <w:tc>
          <w:tcPr>
            <w:tcW w:w="1336" w:type="dxa"/>
            <w:noWrap w:val="0"/>
            <w:vAlign w:val="center"/>
          </w:tcPr>
          <w:p w14:paraId="12FA5D0C">
            <w:pPr>
              <w:keepNext w:val="0"/>
              <w:keepLines w:val="0"/>
              <w:pageBreakBefore w:val="0"/>
              <w:widowControl w:val="0"/>
              <w:kinsoku/>
              <w:wordWrap/>
              <w:overflowPunct/>
              <w:topLinePunct w:val="0"/>
              <w:bidi w:val="0"/>
              <w:snapToGrid/>
              <w:spacing w:line="240" w:lineRule="auto"/>
              <w:ind w:left="0" w:firstLine="0" w:firstLineChars="0"/>
              <w:jc w:val="center"/>
              <w:textAlignment w:val="auto"/>
              <w:rPr>
                <w:rFonts w:hint="eastAsia" w:ascii="微软雅黑" w:hAnsi="微软雅黑" w:eastAsia="微软雅黑" w:cs="微软雅黑"/>
                <w:color w:val="000000" w:themeColor="text1"/>
                <w:sz w:val="24"/>
                <w:szCs w:val="24"/>
                <w14:textFill>
                  <w14:solidFill>
                    <w14:schemeClr w14:val="tx1"/>
                  </w14:solidFill>
                </w14:textFill>
              </w:rPr>
            </w:pPr>
          </w:p>
        </w:tc>
      </w:tr>
      <w:tr w14:paraId="091672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11" w:type="dxa"/>
            <w:noWrap w:val="0"/>
            <w:vAlign w:val="top"/>
          </w:tcPr>
          <w:p w14:paraId="383EF109">
            <w:pPr>
              <w:keepNext w:val="0"/>
              <w:keepLines w:val="0"/>
              <w:pageBreakBefore w:val="0"/>
              <w:widowControl w:val="0"/>
              <w:kinsoku/>
              <w:wordWrap/>
              <w:overflowPunct/>
              <w:topLinePunct w:val="0"/>
              <w:bidi w:val="0"/>
              <w:snapToGrid/>
              <w:spacing w:line="240" w:lineRule="auto"/>
              <w:ind w:left="0" w:firstLine="0" w:firstLineChars="0"/>
              <w:jc w:val="center"/>
              <w:textAlignment w:val="auto"/>
              <w:rPr>
                <w:rFonts w:hint="eastAsia" w:ascii="微软雅黑" w:hAnsi="微软雅黑" w:eastAsia="微软雅黑" w:cs="微软雅黑"/>
                <w:color w:val="000000" w:themeColor="text1"/>
                <w:sz w:val="24"/>
                <w:szCs w:val="24"/>
                <w14:textFill>
                  <w14:solidFill>
                    <w14:schemeClr w14:val="tx1"/>
                  </w14:solidFill>
                </w14:textFill>
              </w:rPr>
            </w:pPr>
          </w:p>
        </w:tc>
        <w:tc>
          <w:tcPr>
            <w:tcW w:w="2844" w:type="dxa"/>
            <w:noWrap w:val="0"/>
            <w:vAlign w:val="top"/>
          </w:tcPr>
          <w:p w14:paraId="1EC4320E">
            <w:pPr>
              <w:keepNext w:val="0"/>
              <w:keepLines w:val="0"/>
              <w:pageBreakBefore w:val="0"/>
              <w:widowControl w:val="0"/>
              <w:kinsoku/>
              <w:wordWrap/>
              <w:overflowPunct/>
              <w:topLinePunct w:val="0"/>
              <w:bidi w:val="0"/>
              <w:snapToGrid/>
              <w:spacing w:line="240" w:lineRule="auto"/>
              <w:ind w:left="0" w:firstLine="0" w:firstLineChars="0"/>
              <w:jc w:val="center"/>
              <w:textAlignment w:val="auto"/>
              <w:rPr>
                <w:rFonts w:hint="eastAsia" w:ascii="微软雅黑" w:hAnsi="微软雅黑" w:eastAsia="微软雅黑" w:cs="微软雅黑"/>
                <w:color w:val="000000" w:themeColor="text1"/>
                <w:sz w:val="24"/>
                <w:szCs w:val="24"/>
                <w14:textFill>
                  <w14:solidFill>
                    <w14:schemeClr w14:val="tx1"/>
                  </w14:solidFill>
                </w14:textFill>
              </w:rPr>
            </w:pPr>
          </w:p>
        </w:tc>
        <w:tc>
          <w:tcPr>
            <w:tcW w:w="1476" w:type="dxa"/>
            <w:noWrap w:val="0"/>
            <w:vAlign w:val="top"/>
          </w:tcPr>
          <w:p w14:paraId="257E7E1F">
            <w:pPr>
              <w:keepNext w:val="0"/>
              <w:keepLines w:val="0"/>
              <w:pageBreakBefore w:val="0"/>
              <w:widowControl w:val="0"/>
              <w:kinsoku/>
              <w:wordWrap/>
              <w:overflowPunct/>
              <w:topLinePunct w:val="0"/>
              <w:bidi w:val="0"/>
              <w:snapToGrid/>
              <w:spacing w:line="240" w:lineRule="auto"/>
              <w:ind w:left="0" w:firstLine="0" w:firstLineChars="0"/>
              <w:jc w:val="center"/>
              <w:textAlignment w:val="auto"/>
              <w:rPr>
                <w:rFonts w:hint="eastAsia" w:ascii="微软雅黑" w:hAnsi="微软雅黑" w:eastAsia="微软雅黑" w:cs="微软雅黑"/>
                <w:color w:val="000000" w:themeColor="text1"/>
                <w:sz w:val="24"/>
                <w:szCs w:val="24"/>
                <w14:textFill>
                  <w14:solidFill>
                    <w14:schemeClr w14:val="tx1"/>
                  </w14:solidFill>
                </w14:textFill>
              </w:rPr>
            </w:pPr>
          </w:p>
        </w:tc>
        <w:tc>
          <w:tcPr>
            <w:tcW w:w="1344" w:type="dxa"/>
            <w:noWrap w:val="0"/>
            <w:vAlign w:val="top"/>
          </w:tcPr>
          <w:p w14:paraId="3148AD9A">
            <w:pPr>
              <w:keepNext w:val="0"/>
              <w:keepLines w:val="0"/>
              <w:pageBreakBefore w:val="0"/>
              <w:widowControl w:val="0"/>
              <w:kinsoku/>
              <w:wordWrap/>
              <w:overflowPunct/>
              <w:topLinePunct w:val="0"/>
              <w:bidi w:val="0"/>
              <w:snapToGrid/>
              <w:spacing w:line="240" w:lineRule="auto"/>
              <w:ind w:left="0" w:firstLine="0" w:firstLineChars="0"/>
              <w:textAlignment w:val="auto"/>
              <w:rPr>
                <w:rFonts w:hint="eastAsia" w:ascii="微软雅黑" w:hAnsi="微软雅黑" w:eastAsia="微软雅黑" w:cs="微软雅黑"/>
                <w:color w:val="000000" w:themeColor="text1"/>
                <w:sz w:val="24"/>
                <w:szCs w:val="24"/>
                <w14:textFill>
                  <w14:solidFill>
                    <w14:schemeClr w14:val="tx1"/>
                  </w14:solidFill>
                </w14:textFill>
              </w:rPr>
            </w:pPr>
          </w:p>
        </w:tc>
        <w:tc>
          <w:tcPr>
            <w:tcW w:w="1260" w:type="dxa"/>
            <w:noWrap w:val="0"/>
            <w:vAlign w:val="top"/>
          </w:tcPr>
          <w:p w14:paraId="1CB37329">
            <w:pPr>
              <w:keepNext w:val="0"/>
              <w:keepLines w:val="0"/>
              <w:pageBreakBefore w:val="0"/>
              <w:widowControl w:val="0"/>
              <w:kinsoku/>
              <w:wordWrap/>
              <w:overflowPunct/>
              <w:topLinePunct w:val="0"/>
              <w:bidi w:val="0"/>
              <w:snapToGrid/>
              <w:spacing w:line="240" w:lineRule="auto"/>
              <w:ind w:left="0" w:firstLine="0" w:firstLineChars="0"/>
              <w:jc w:val="center"/>
              <w:textAlignment w:val="auto"/>
              <w:rPr>
                <w:rFonts w:hint="eastAsia" w:ascii="微软雅黑" w:hAnsi="微软雅黑" w:eastAsia="微软雅黑" w:cs="微软雅黑"/>
                <w:color w:val="000000" w:themeColor="text1"/>
                <w:sz w:val="24"/>
                <w:szCs w:val="24"/>
                <w14:textFill>
                  <w14:solidFill>
                    <w14:schemeClr w14:val="tx1"/>
                  </w14:solidFill>
                </w14:textFill>
              </w:rPr>
            </w:pPr>
          </w:p>
        </w:tc>
        <w:tc>
          <w:tcPr>
            <w:tcW w:w="792" w:type="dxa"/>
            <w:noWrap w:val="0"/>
            <w:vAlign w:val="top"/>
          </w:tcPr>
          <w:p w14:paraId="730E2A2E">
            <w:pPr>
              <w:keepNext w:val="0"/>
              <w:keepLines w:val="0"/>
              <w:pageBreakBefore w:val="0"/>
              <w:widowControl w:val="0"/>
              <w:kinsoku/>
              <w:wordWrap/>
              <w:overflowPunct/>
              <w:topLinePunct w:val="0"/>
              <w:bidi w:val="0"/>
              <w:snapToGrid/>
              <w:spacing w:line="240" w:lineRule="auto"/>
              <w:ind w:left="0" w:firstLine="0" w:firstLineChars="0"/>
              <w:jc w:val="center"/>
              <w:textAlignment w:val="auto"/>
              <w:rPr>
                <w:rFonts w:hint="eastAsia" w:ascii="微软雅黑" w:hAnsi="微软雅黑" w:eastAsia="微软雅黑" w:cs="微软雅黑"/>
                <w:color w:val="000000" w:themeColor="text1"/>
                <w:sz w:val="24"/>
                <w:szCs w:val="24"/>
                <w14:textFill>
                  <w14:solidFill>
                    <w14:schemeClr w14:val="tx1"/>
                  </w14:solidFill>
                </w14:textFill>
              </w:rPr>
            </w:pPr>
          </w:p>
        </w:tc>
        <w:tc>
          <w:tcPr>
            <w:tcW w:w="1336" w:type="dxa"/>
            <w:noWrap w:val="0"/>
            <w:vAlign w:val="top"/>
          </w:tcPr>
          <w:p w14:paraId="2D5B0343">
            <w:pPr>
              <w:keepNext w:val="0"/>
              <w:keepLines w:val="0"/>
              <w:pageBreakBefore w:val="0"/>
              <w:widowControl w:val="0"/>
              <w:kinsoku/>
              <w:wordWrap/>
              <w:overflowPunct/>
              <w:topLinePunct w:val="0"/>
              <w:bidi w:val="0"/>
              <w:snapToGrid/>
              <w:spacing w:line="240" w:lineRule="auto"/>
              <w:ind w:left="0" w:firstLine="0" w:firstLineChars="0"/>
              <w:jc w:val="center"/>
              <w:textAlignment w:val="auto"/>
              <w:rPr>
                <w:rFonts w:hint="eastAsia" w:ascii="微软雅黑" w:hAnsi="微软雅黑" w:eastAsia="微软雅黑" w:cs="微软雅黑"/>
                <w:color w:val="000000" w:themeColor="text1"/>
                <w:sz w:val="24"/>
                <w:szCs w:val="24"/>
                <w14:textFill>
                  <w14:solidFill>
                    <w14:schemeClr w14:val="tx1"/>
                  </w14:solidFill>
                </w14:textFill>
              </w:rPr>
            </w:pPr>
          </w:p>
        </w:tc>
      </w:tr>
      <w:tr w14:paraId="4077F7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11" w:type="dxa"/>
            <w:noWrap w:val="0"/>
            <w:vAlign w:val="top"/>
          </w:tcPr>
          <w:p w14:paraId="558ADD90">
            <w:pPr>
              <w:keepNext w:val="0"/>
              <w:keepLines w:val="0"/>
              <w:pageBreakBefore w:val="0"/>
              <w:widowControl w:val="0"/>
              <w:kinsoku/>
              <w:wordWrap/>
              <w:overflowPunct/>
              <w:topLinePunct w:val="0"/>
              <w:bidi w:val="0"/>
              <w:snapToGrid/>
              <w:spacing w:line="240" w:lineRule="auto"/>
              <w:ind w:left="0" w:firstLine="0" w:firstLineChars="0"/>
              <w:jc w:val="center"/>
              <w:textAlignment w:val="auto"/>
              <w:rPr>
                <w:rFonts w:hint="eastAsia" w:ascii="微软雅黑" w:hAnsi="微软雅黑" w:eastAsia="微软雅黑" w:cs="微软雅黑"/>
                <w:color w:val="000000" w:themeColor="text1"/>
                <w:sz w:val="24"/>
                <w:szCs w:val="24"/>
                <w14:textFill>
                  <w14:solidFill>
                    <w14:schemeClr w14:val="tx1"/>
                  </w14:solidFill>
                </w14:textFill>
              </w:rPr>
            </w:pPr>
          </w:p>
        </w:tc>
        <w:tc>
          <w:tcPr>
            <w:tcW w:w="2844" w:type="dxa"/>
            <w:noWrap w:val="0"/>
            <w:vAlign w:val="top"/>
          </w:tcPr>
          <w:p w14:paraId="029B2914">
            <w:pPr>
              <w:keepNext w:val="0"/>
              <w:keepLines w:val="0"/>
              <w:pageBreakBefore w:val="0"/>
              <w:widowControl w:val="0"/>
              <w:kinsoku/>
              <w:wordWrap/>
              <w:overflowPunct/>
              <w:topLinePunct w:val="0"/>
              <w:bidi w:val="0"/>
              <w:snapToGrid/>
              <w:spacing w:line="240" w:lineRule="auto"/>
              <w:ind w:left="0" w:firstLine="0" w:firstLineChars="0"/>
              <w:jc w:val="center"/>
              <w:textAlignment w:val="auto"/>
              <w:rPr>
                <w:rFonts w:hint="eastAsia" w:ascii="微软雅黑" w:hAnsi="微软雅黑" w:eastAsia="微软雅黑" w:cs="微软雅黑"/>
                <w:color w:val="000000" w:themeColor="text1"/>
                <w:sz w:val="24"/>
                <w:szCs w:val="24"/>
                <w14:textFill>
                  <w14:solidFill>
                    <w14:schemeClr w14:val="tx1"/>
                  </w14:solidFill>
                </w14:textFill>
              </w:rPr>
            </w:pPr>
          </w:p>
        </w:tc>
        <w:tc>
          <w:tcPr>
            <w:tcW w:w="1476" w:type="dxa"/>
            <w:noWrap w:val="0"/>
            <w:vAlign w:val="top"/>
          </w:tcPr>
          <w:p w14:paraId="41F17E4D">
            <w:pPr>
              <w:keepNext w:val="0"/>
              <w:keepLines w:val="0"/>
              <w:pageBreakBefore w:val="0"/>
              <w:widowControl w:val="0"/>
              <w:kinsoku/>
              <w:wordWrap/>
              <w:overflowPunct/>
              <w:topLinePunct w:val="0"/>
              <w:bidi w:val="0"/>
              <w:snapToGrid/>
              <w:spacing w:line="240" w:lineRule="auto"/>
              <w:ind w:left="0" w:firstLine="0" w:firstLineChars="0"/>
              <w:jc w:val="center"/>
              <w:textAlignment w:val="auto"/>
              <w:rPr>
                <w:rFonts w:hint="eastAsia" w:ascii="微软雅黑" w:hAnsi="微软雅黑" w:eastAsia="微软雅黑" w:cs="微软雅黑"/>
                <w:color w:val="000000" w:themeColor="text1"/>
                <w:sz w:val="24"/>
                <w:szCs w:val="24"/>
                <w14:textFill>
                  <w14:solidFill>
                    <w14:schemeClr w14:val="tx1"/>
                  </w14:solidFill>
                </w14:textFill>
              </w:rPr>
            </w:pPr>
          </w:p>
        </w:tc>
        <w:tc>
          <w:tcPr>
            <w:tcW w:w="1344" w:type="dxa"/>
            <w:noWrap w:val="0"/>
            <w:vAlign w:val="top"/>
          </w:tcPr>
          <w:p w14:paraId="4C01C56F">
            <w:pPr>
              <w:keepNext w:val="0"/>
              <w:keepLines w:val="0"/>
              <w:pageBreakBefore w:val="0"/>
              <w:widowControl w:val="0"/>
              <w:kinsoku/>
              <w:wordWrap/>
              <w:overflowPunct/>
              <w:topLinePunct w:val="0"/>
              <w:bidi w:val="0"/>
              <w:snapToGrid/>
              <w:spacing w:line="240" w:lineRule="auto"/>
              <w:ind w:left="0" w:firstLine="0" w:firstLineChars="0"/>
              <w:textAlignment w:val="auto"/>
              <w:rPr>
                <w:rFonts w:hint="eastAsia" w:ascii="微软雅黑" w:hAnsi="微软雅黑" w:eastAsia="微软雅黑" w:cs="微软雅黑"/>
                <w:color w:val="000000" w:themeColor="text1"/>
                <w:sz w:val="24"/>
                <w:szCs w:val="24"/>
                <w14:textFill>
                  <w14:solidFill>
                    <w14:schemeClr w14:val="tx1"/>
                  </w14:solidFill>
                </w14:textFill>
              </w:rPr>
            </w:pPr>
          </w:p>
        </w:tc>
        <w:tc>
          <w:tcPr>
            <w:tcW w:w="1260" w:type="dxa"/>
            <w:noWrap w:val="0"/>
            <w:vAlign w:val="top"/>
          </w:tcPr>
          <w:p w14:paraId="45F2B2CB">
            <w:pPr>
              <w:keepNext w:val="0"/>
              <w:keepLines w:val="0"/>
              <w:pageBreakBefore w:val="0"/>
              <w:widowControl w:val="0"/>
              <w:kinsoku/>
              <w:wordWrap/>
              <w:overflowPunct/>
              <w:topLinePunct w:val="0"/>
              <w:bidi w:val="0"/>
              <w:snapToGrid/>
              <w:spacing w:line="240" w:lineRule="auto"/>
              <w:ind w:left="0" w:firstLine="0" w:firstLineChars="0"/>
              <w:jc w:val="center"/>
              <w:textAlignment w:val="auto"/>
              <w:rPr>
                <w:rFonts w:hint="eastAsia" w:ascii="微软雅黑" w:hAnsi="微软雅黑" w:eastAsia="微软雅黑" w:cs="微软雅黑"/>
                <w:color w:val="000000" w:themeColor="text1"/>
                <w:sz w:val="24"/>
                <w:szCs w:val="24"/>
                <w14:textFill>
                  <w14:solidFill>
                    <w14:schemeClr w14:val="tx1"/>
                  </w14:solidFill>
                </w14:textFill>
              </w:rPr>
            </w:pPr>
          </w:p>
        </w:tc>
        <w:tc>
          <w:tcPr>
            <w:tcW w:w="792" w:type="dxa"/>
            <w:noWrap w:val="0"/>
            <w:vAlign w:val="top"/>
          </w:tcPr>
          <w:p w14:paraId="7507E0AF">
            <w:pPr>
              <w:keepNext w:val="0"/>
              <w:keepLines w:val="0"/>
              <w:pageBreakBefore w:val="0"/>
              <w:widowControl w:val="0"/>
              <w:kinsoku/>
              <w:wordWrap/>
              <w:overflowPunct/>
              <w:topLinePunct w:val="0"/>
              <w:bidi w:val="0"/>
              <w:snapToGrid/>
              <w:spacing w:line="240" w:lineRule="auto"/>
              <w:ind w:left="0" w:firstLine="0" w:firstLineChars="0"/>
              <w:jc w:val="center"/>
              <w:textAlignment w:val="auto"/>
              <w:rPr>
                <w:rFonts w:hint="eastAsia" w:ascii="微软雅黑" w:hAnsi="微软雅黑" w:eastAsia="微软雅黑" w:cs="微软雅黑"/>
                <w:color w:val="000000" w:themeColor="text1"/>
                <w:sz w:val="24"/>
                <w:szCs w:val="24"/>
                <w14:textFill>
                  <w14:solidFill>
                    <w14:schemeClr w14:val="tx1"/>
                  </w14:solidFill>
                </w14:textFill>
              </w:rPr>
            </w:pPr>
          </w:p>
        </w:tc>
        <w:tc>
          <w:tcPr>
            <w:tcW w:w="1336" w:type="dxa"/>
            <w:noWrap w:val="0"/>
            <w:vAlign w:val="top"/>
          </w:tcPr>
          <w:p w14:paraId="5A3B7D04">
            <w:pPr>
              <w:keepNext w:val="0"/>
              <w:keepLines w:val="0"/>
              <w:pageBreakBefore w:val="0"/>
              <w:widowControl w:val="0"/>
              <w:kinsoku/>
              <w:wordWrap/>
              <w:overflowPunct/>
              <w:topLinePunct w:val="0"/>
              <w:bidi w:val="0"/>
              <w:snapToGrid/>
              <w:spacing w:line="240" w:lineRule="auto"/>
              <w:ind w:left="0" w:firstLine="0" w:firstLineChars="0"/>
              <w:jc w:val="center"/>
              <w:textAlignment w:val="auto"/>
              <w:rPr>
                <w:rFonts w:hint="eastAsia" w:ascii="微软雅黑" w:hAnsi="微软雅黑" w:eastAsia="微软雅黑" w:cs="微软雅黑"/>
                <w:color w:val="000000" w:themeColor="text1"/>
                <w:sz w:val="24"/>
                <w:szCs w:val="24"/>
                <w14:textFill>
                  <w14:solidFill>
                    <w14:schemeClr w14:val="tx1"/>
                  </w14:solidFill>
                </w14:textFill>
              </w:rPr>
            </w:pPr>
          </w:p>
        </w:tc>
      </w:tr>
      <w:tr w14:paraId="7E2A87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5131" w:type="dxa"/>
            <w:gridSpan w:val="3"/>
            <w:noWrap w:val="0"/>
            <w:vAlign w:val="top"/>
          </w:tcPr>
          <w:p w14:paraId="2F1C06AD">
            <w:pPr>
              <w:keepNext w:val="0"/>
              <w:keepLines w:val="0"/>
              <w:pageBreakBefore w:val="0"/>
              <w:widowControl w:val="0"/>
              <w:kinsoku/>
              <w:wordWrap/>
              <w:overflowPunct/>
              <w:topLinePunct w:val="0"/>
              <w:bidi w:val="0"/>
              <w:snapToGrid/>
              <w:spacing w:line="240" w:lineRule="auto"/>
              <w:ind w:left="0" w:firstLine="0" w:firstLineChars="0"/>
              <w:jc w:val="center"/>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预估处理处置费用合计（元）</w:t>
            </w:r>
          </w:p>
        </w:tc>
        <w:tc>
          <w:tcPr>
            <w:tcW w:w="4732" w:type="dxa"/>
            <w:gridSpan w:val="4"/>
            <w:noWrap w:val="0"/>
            <w:vAlign w:val="top"/>
          </w:tcPr>
          <w:p w14:paraId="59AB8FA1">
            <w:pPr>
              <w:keepNext w:val="0"/>
              <w:keepLines w:val="0"/>
              <w:pageBreakBefore w:val="0"/>
              <w:widowControl w:val="0"/>
              <w:kinsoku/>
              <w:wordWrap/>
              <w:overflowPunct/>
              <w:topLinePunct w:val="0"/>
              <w:bidi w:val="0"/>
              <w:snapToGrid/>
              <w:spacing w:line="240" w:lineRule="auto"/>
              <w:ind w:left="0" w:firstLine="0" w:firstLineChars="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w:t>
            </w:r>
          </w:p>
        </w:tc>
      </w:tr>
    </w:tbl>
    <w:p w14:paraId="38B2FDB6">
      <w:pPr>
        <w:keepNext w:val="0"/>
        <w:keepLines w:val="0"/>
        <w:pageBreakBefore w:val="0"/>
        <w:kinsoku/>
        <w:wordWrap/>
        <w:overflowPunct/>
        <w:topLinePunct w:val="0"/>
        <w:bidi w:val="0"/>
        <w:adjustRightInd/>
        <w:snapToGrid/>
        <w:spacing w:line="360" w:lineRule="auto"/>
        <w:ind w:left="0"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p>
    <w:p w14:paraId="7887612C">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转移、运输和处置要求</w:t>
      </w:r>
    </w:p>
    <w:p w14:paraId="2614663D">
      <w:pPr>
        <w:keepNext w:val="0"/>
        <w:keepLines w:val="0"/>
        <w:pageBreakBefore w:val="0"/>
        <w:numPr>
          <w:ilvl w:val="0"/>
          <w:numId w:val="0"/>
        </w:numPr>
        <w:kinsoku/>
        <w:wordWrap/>
        <w:overflowPunct/>
        <w:topLinePunct w:val="0"/>
        <w:bidi w:val="0"/>
        <w:snapToGrid/>
        <w:spacing w:line="360" w:lineRule="auto"/>
        <w:ind w:left="0" w:leftChars="0"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lang w:eastAsia="zh-CN"/>
          <w14:textFill>
            <w14:solidFill>
              <w14:schemeClr w14:val="tx1"/>
            </w14:solidFill>
          </w14:textFill>
        </w:rPr>
        <w:t>（</w:t>
      </w:r>
      <w:r>
        <w:rPr>
          <w:rFonts w:hint="eastAsia" w:ascii="微软雅黑" w:hAnsi="微软雅黑" w:eastAsia="微软雅黑" w:cs="微软雅黑"/>
          <w:b/>
          <w:color w:val="000000" w:themeColor="text1"/>
          <w:sz w:val="24"/>
          <w:szCs w:val="24"/>
          <w:lang w:val="en-US" w:eastAsia="zh-CN"/>
          <w14:textFill>
            <w14:solidFill>
              <w14:schemeClr w14:val="tx1"/>
            </w14:solidFill>
          </w14:textFill>
        </w:rPr>
        <w:t>一</w:t>
      </w:r>
      <w:r>
        <w:rPr>
          <w:rFonts w:hint="eastAsia" w:ascii="微软雅黑" w:hAnsi="微软雅黑" w:eastAsia="微软雅黑" w:cs="微软雅黑"/>
          <w:b/>
          <w:color w:val="000000" w:themeColor="text1"/>
          <w:sz w:val="24"/>
          <w:szCs w:val="24"/>
          <w:lang w:eastAsia="zh-CN"/>
          <w14:textFill>
            <w14:solidFill>
              <w14:schemeClr w14:val="tx1"/>
            </w14:solidFill>
          </w14:textFill>
        </w:rPr>
        <w:t>）</w:t>
      </w:r>
      <w:r>
        <w:rPr>
          <w:rFonts w:hint="eastAsia" w:ascii="微软雅黑" w:hAnsi="微软雅黑" w:eastAsia="微软雅黑" w:cs="微软雅黑"/>
          <w:b/>
          <w:color w:val="000000" w:themeColor="text1"/>
          <w:sz w:val="24"/>
          <w:szCs w:val="24"/>
          <w14:textFill>
            <w14:solidFill>
              <w14:schemeClr w14:val="tx1"/>
            </w14:solidFill>
          </w14:textFill>
        </w:rPr>
        <w:t>运输和转移要求：</w:t>
      </w:r>
    </w:p>
    <w:p w14:paraId="08C66348">
      <w:pPr>
        <w:keepNext w:val="0"/>
        <w:keepLines w:val="0"/>
        <w:pageBreakBefore w:val="0"/>
        <w:numPr>
          <w:ilvl w:val="0"/>
          <w:numId w:val="2"/>
        </w:numPr>
        <w:kinsoku/>
        <w:wordWrap/>
        <w:overflowPunct/>
        <w:topLinePunct w:val="0"/>
        <w:bidi w:val="0"/>
        <w:snapToGrid/>
        <w:spacing w:line="360" w:lineRule="auto"/>
        <w:ind w:left="0" w:leftChars="0"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乙方在运输过程中必须采取防止污染环境的措施，严格按国家有关危险废物的运输管理的规定执行，在运输过程中乙方违反国家有关危险废物运输规定被政府行政部门处罚或造成事故的，由乙方承担责任。</w:t>
      </w:r>
    </w:p>
    <w:p w14:paraId="0E9AF8BF">
      <w:pPr>
        <w:keepNext w:val="0"/>
        <w:keepLines w:val="0"/>
        <w:pageBreakBefore w:val="0"/>
        <w:numPr>
          <w:ilvl w:val="0"/>
          <w:numId w:val="2"/>
        </w:numPr>
        <w:kinsoku/>
        <w:wordWrap/>
        <w:overflowPunct/>
        <w:topLinePunct w:val="0"/>
        <w:bidi w:val="0"/>
        <w:snapToGrid/>
        <w:spacing w:line="360" w:lineRule="auto"/>
        <w:ind w:left="0" w:leftChars="0"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接到甲方通知后，乙方安排人员于</w:t>
      </w:r>
      <w:r>
        <w:rPr>
          <w:rFonts w:hint="eastAsia" w:ascii="微软雅黑" w:hAnsi="微软雅黑" w:eastAsia="微软雅黑" w:cs="微软雅黑"/>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小时内到达甲方提供的清运地址进行清运，乙方工作人员进入甲方指定场所作业时，需穿着工作服，佩戴工作证，遵守甲方场所各项规定；在乙方运输时，甲方应给予乙方进出厂区的方便。</w:t>
      </w:r>
    </w:p>
    <w:p w14:paraId="242E7E9D">
      <w:pPr>
        <w:keepNext w:val="0"/>
        <w:keepLines w:val="0"/>
        <w:pageBreakBefore w:val="0"/>
        <w:numPr>
          <w:ilvl w:val="0"/>
          <w:numId w:val="2"/>
        </w:numPr>
        <w:kinsoku/>
        <w:wordWrap/>
        <w:overflowPunct/>
        <w:topLinePunct w:val="0"/>
        <w:bidi w:val="0"/>
        <w:snapToGrid/>
        <w:spacing w:line="360" w:lineRule="auto"/>
        <w:ind w:left="0" w:leftChars="0"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因甲方原因造成乙方车辆放空，甲方须承担乙方运输车辆正常费用之外的其它费用。</w:t>
      </w:r>
    </w:p>
    <w:p w14:paraId="1279E453">
      <w:pPr>
        <w:keepNext w:val="0"/>
        <w:keepLines w:val="0"/>
        <w:pageBreakBefore w:val="0"/>
        <w:numPr>
          <w:ilvl w:val="0"/>
          <w:numId w:val="2"/>
        </w:numPr>
        <w:kinsoku/>
        <w:wordWrap/>
        <w:overflowPunct/>
        <w:topLinePunct w:val="0"/>
        <w:bidi w:val="0"/>
        <w:snapToGrid/>
        <w:spacing w:line="360" w:lineRule="auto"/>
        <w:ind w:left="0" w:leftChars="0"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乙方至甲方运输时应遵守甲方规章制度及指挥。乙方违反甲方规章制度及指挥，造成人身安全及双方财产损失的，甲方有权向乙方提出相应赔偿的要求。</w:t>
      </w:r>
    </w:p>
    <w:p w14:paraId="2B11AD8C">
      <w:pPr>
        <w:keepNext w:val="0"/>
        <w:keepLines w:val="0"/>
        <w:pageBreakBefore w:val="0"/>
        <w:kinsoku/>
        <w:wordWrap/>
        <w:overflowPunct/>
        <w:topLinePunct w:val="0"/>
        <w:bidi w:val="0"/>
        <w:snapToGrid/>
        <w:spacing w:line="360" w:lineRule="auto"/>
        <w:ind w:left="0"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（二）贮存和处理处置：</w:t>
      </w:r>
    </w:p>
    <w:p w14:paraId="3CD5966F">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乙方应当按照国家和地方的有关规定，对废物进行安全贮存及处理处置。</w:t>
      </w:r>
    </w:p>
    <w:p w14:paraId="310F88AB">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乙方在废物处理处置过程中应当遵守国家及地方相关管理要求，处理处置过程中</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造成</w:t>
      </w:r>
      <w:r>
        <w:rPr>
          <w:rFonts w:hint="eastAsia" w:ascii="微软雅黑" w:hAnsi="微软雅黑" w:eastAsia="微软雅黑" w:cs="微软雅黑"/>
          <w:color w:val="000000" w:themeColor="text1"/>
          <w:sz w:val="24"/>
          <w:szCs w:val="24"/>
          <w14:textFill>
            <w14:solidFill>
              <w14:schemeClr w14:val="tx1"/>
            </w14:solidFill>
          </w14:textFill>
        </w:rPr>
        <w:t>的环境污染，由乙方承担相应责任。</w:t>
      </w:r>
    </w:p>
    <w:p w14:paraId="1CA7EC3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3933E275">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委托期限</w:t>
      </w:r>
    </w:p>
    <w:p w14:paraId="5E4129D6">
      <w:pPr>
        <w:keepNext w:val="0"/>
        <w:keepLines w:val="0"/>
        <w:pageBreakBefore w:val="0"/>
        <w:kinsoku/>
        <w:wordWrap/>
        <w:overflowPunct/>
        <w:topLinePunct w:val="0"/>
        <w:bidi w:val="0"/>
        <w:snapToGrid/>
        <w:spacing w:line="360" w:lineRule="auto"/>
        <w:ind w:left="0"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甲方委托乙方收集、运输、贮存和处理处置危险废物的期限自</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日至</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日止。若双方有意继续合作，应提前30天，经协商一致后可重新签订协议。</w:t>
      </w:r>
    </w:p>
    <w:p w14:paraId="636EDEE5">
      <w:pPr>
        <w:keepNext w:val="0"/>
        <w:keepLines w:val="0"/>
        <w:pageBreakBefore w:val="0"/>
        <w:kinsoku/>
        <w:wordWrap/>
        <w:overflowPunct/>
        <w:topLinePunct w:val="0"/>
        <w:bidi w:val="0"/>
        <w:adjustRightInd/>
        <w:snapToGrid/>
        <w:spacing w:line="360" w:lineRule="auto"/>
        <w:ind w:left="0"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p>
    <w:p w14:paraId="262703ED">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双方责任</w:t>
      </w:r>
    </w:p>
    <w:p w14:paraId="0DFC9485">
      <w:pPr>
        <w:keepNext w:val="0"/>
        <w:keepLines w:val="0"/>
        <w:pageBreakBefore w:val="0"/>
        <w:kinsoku/>
        <w:wordWrap/>
        <w:overflowPunct/>
        <w:topLinePunct w:val="0"/>
        <w:bidi w:val="0"/>
        <w:snapToGrid/>
        <w:spacing w:line="360" w:lineRule="auto"/>
        <w:ind w:left="0"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（一）甲方权利与义务：</w:t>
      </w:r>
    </w:p>
    <w:p w14:paraId="7CAECF4B">
      <w:pPr>
        <w:keepNext w:val="0"/>
        <w:keepLines w:val="0"/>
        <w:pageBreakBefore w:val="0"/>
        <w:numPr>
          <w:ilvl w:val="0"/>
          <w:numId w:val="4"/>
        </w:numPr>
        <w:kinsoku/>
        <w:wordWrap/>
        <w:overflowPunct/>
        <w:topLinePunct w:val="0"/>
        <w:bidi w:val="0"/>
        <w:snapToGrid/>
        <w:spacing w:line="360" w:lineRule="auto"/>
        <w:ind w:left="0" w:leftChars="0"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甲方对生产经营过程中产生的危险废物进行安全收集并分类暂存于乙方认可的封装容器内，容器应当符合国家规定的标准（参考GB12463-2009《危险货物运输包装通用技术条件》）。</w:t>
      </w:r>
    </w:p>
    <w:p w14:paraId="18CF6796">
      <w:pPr>
        <w:keepNext w:val="0"/>
        <w:keepLines w:val="0"/>
        <w:pageBreakBefore w:val="0"/>
        <w:numPr>
          <w:ilvl w:val="0"/>
          <w:numId w:val="4"/>
        </w:numPr>
        <w:kinsoku/>
        <w:wordWrap/>
        <w:overflowPunct/>
        <w:topLinePunct w:val="0"/>
        <w:bidi w:val="0"/>
        <w:snapToGrid/>
        <w:spacing w:line="360" w:lineRule="auto"/>
        <w:ind w:left="0" w:leftChars="0"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甲方须在废物的包装容器表面明显处张贴标签，标签上的废物名称、废物类别、废物代码同</w:t>
      </w:r>
      <w:r>
        <w:rPr>
          <w:rFonts w:hint="eastAsia" w:ascii="微软雅黑" w:hAnsi="微软雅黑" w:eastAsia="微软雅黑" w:cs="微软雅黑"/>
          <w:color w:val="000000" w:themeColor="text1"/>
          <w:sz w:val="24"/>
          <w:szCs w:val="24"/>
          <w:lang w:eastAsia="zh-CN"/>
          <w14:textFill>
            <w14:solidFill>
              <w14:schemeClr w14:val="tx1"/>
            </w14:solidFill>
          </w14:textFill>
        </w:rPr>
        <w:t>本合同</w:t>
      </w:r>
      <w:r>
        <w:rPr>
          <w:rFonts w:hint="eastAsia" w:ascii="微软雅黑" w:hAnsi="微软雅黑" w:eastAsia="微软雅黑" w:cs="微软雅黑"/>
          <w:color w:val="000000" w:themeColor="text1"/>
          <w:sz w:val="24"/>
          <w:szCs w:val="24"/>
          <w14:textFill>
            <w14:solidFill>
              <w14:schemeClr w14:val="tx1"/>
            </w14:solidFill>
          </w14:textFill>
        </w:rPr>
        <w:t>所约定的废物名称一致。甲方的包装物或标签若不符合</w:t>
      </w:r>
      <w:r>
        <w:rPr>
          <w:rFonts w:hint="eastAsia" w:ascii="微软雅黑" w:hAnsi="微软雅黑" w:eastAsia="微软雅黑" w:cs="微软雅黑"/>
          <w:color w:val="000000" w:themeColor="text1"/>
          <w:sz w:val="24"/>
          <w:szCs w:val="24"/>
          <w:lang w:eastAsia="zh-CN"/>
          <w14:textFill>
            <w14:solidFill>
              <w14:schemeClr w14:val="tx1"/>
            </w14:solidFill>
          </w14:textFill>
        </w:rPr>
        <w:t>本合同</w:t>
      </w:r>
      <w:r>
        <w:rPr>
          <w:rFonts w:hint="eastAsia" w:ascii="微软雅黑" w:hAnsi="微软雅黑" w:eastAsia="微软雅黑" w:cs="微软雅黑"/>
          <w:color w:val="000000" w:themeColor="text1"/>
          <w:sz w:val="24"/>
          <w:szCs w:val="24"/>
          <w14:textFill>
            <w14:solidFill>
              <w14:schemeClr w14:val="tx1"/>
            </w14:solidFill>
          </w14:textFill>
        </w:rPr>
        <w:t>要求、或者废物标签名称与包装内废物不一致时，乙方有权拒绝接收甲方废物。禁止随意混合其它性质不相容危险废物。因甲方原因产生过程导致危险废物混合的，在乙方书面同意接受的情况下，对于混装的危险废物按处置难度高的废物种类价格结算。</w:t>
      </w:r>
    </w:p>
    <w:p w14:paraId="1EE5BC1F">
      <w:pPr>
        <w:keepNext w:val="0"/>
        <w:keepLines w:val="0"/>
        <w:pageBreakBefore w:val="0"/>
        <w:numPr>
          <w:ilvl w:val="0"/>
          <w:numId w:val="4"/>
        </w:numPr>
        <w:kinsoku/>
        <w:wordWrap/>
        <w:overflowPunct/>
        <w:topLinePunct w:val="0"/>
        <w:bidi w:val="0"/>
        <w:snapToGrid/>
        <w:spacing w:line="360" w:lineRule="auto"/>
        <w:ind w:left="0" w:leftChars="0"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甲方在签约前须按照乙方要求</w:t>
      </w:r>
      <w:r>
        <w:rPr>
          <w:rFonts w:hint="eastAsia" w:ascii="微软雅黑" w:hAnsi="微软雅黑" w:eastAsia="微软雅黑" w:cs="微软雅黑"/>
          <w:b w:val="0"/>
          <w:bCs w:val="0"/>
          <w:color w:val="000000" w:themeColor="text1"/>
          <w:sz w:val="24"/>
          <w:szCs w:val="24"/>
          <w14:textFill>
            <w14:solidFill>
              <w14:schemeClr w14:val="tx1"/>
            </w14:solidFill>
          </w14:textFill>
        </w:rPr>
        <w:t>填写《废物产生单位基本情况调查表》、《废物信息调查表》</w:t>
      </w:r>
      <w:r>
        <w:rPr>
          <w:rFonts w:hint="eastAsia" w:ascii="微软雅黑" w:hAnsi="微软雅黑" w:eastAsia="微软雅黑" w:cs="微软雅黑"/>
          <w:b w:val="0"/>
          <w:bCs w:val="0"/>
          <w:color w:val="000000" w:themeColor="text1"/>
          <w:sz w:val="24"/>
          <w:szCs w:val="24"/>
          <w:lang w:eastAsia="zh-CN"/>
          <w14:textFill>
            <w14:solidFill>
              <w14:schemeClr w14:val="tx1"/>
            </w14:solidFill>
          </w14:textFill>
        </w:rPr>
        <w:t>和</w:t>
      </w:r>
      <w:r>
        <w:rPr>
          <w:rFonts w:hint="eastAsia" w:ascii="微软雅黑" w:hAnsi="微软雅黑" w:eastAsia="微软雅黑" w:cs="微软雅黑"/>
          <w:b w:val="0"/>
          <w:bCs w:val="0"/>
          <w:color w:val="000000" w:themeColor="text1"/>
          <w:sz w:val="24"/>
          <w:szCs w:val="24"/>
          <w14:textFill>
            <w14:solidFill>
              <w14:schemeClr w14:val="tx1"/>
            </w14:solidFill>
          </w14:textFill>
        </w:rPr>
        <w:t>《废弃危险化学品委托处置单》，作为废物性状、包装及运输的依据,确保所</w:t>
      </w:r>
      <w:r>
        <w:rPr>
          <w:rFonts w:hint="eastAsia" w:ascii="微软雅黑" w:hAnsi="微软雅黑" w:eastAsia="微软雅黑" w:cs="微软雅黑"/>
          <w:color w:val="000000" w:themeColor="text1"/>
          <w:sz w:val="24"/>
          <w:szCs w:val="24"/>
          <w14:textFill>
            <w14:solidFill>
              <w14:schemeClr w14:val="tx1"/>
            </w14:solidFill>
          </w14:textFill>
        </w:rPr>
        <w:t>提供资料的真实性、准确性。</w:t>
      </w:r>
    </w:p>
    <w:p w14:paraId="5D0CFF79">
      <w:pPr>
        <w:keepNext w:val="0"/>
        <w:keepLines w:val="0"/>
        <w:pageBreakBefore w:val="0"/>
        <w:numPr>
          <w:ilvl w:val="0"/>
          <w:numId w:val="4"/>
        </w:numPr>
        <w:kinsoku/>
        <w:wordWrap/>
        <w:overflowPunct/>
        <w:topLinePunct w:val="0"/>
        <w:bidi w:val="0"/>
        <w:snapToGrid/>
        <w:spacing w:line="360" w:lineRule="auto"/>
        <w:ind w:left="0" w:leftChars="0"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协议签订前（或者处置前），甲方须提供废物的样品给乙方，以便乙方对废物的性状、包装及运输条件进行评估。</w:t>
      </w:r>
    </w:p>
    <w:p w14:paraId="3127572D">
      <w:pPr>
        <w:keepNext w:val="0"/>
        <w:keepLines w:val="0"/>
        <w:pageBreakBefore w:val="0"/>
        <w:numPr>
          <w:ilvl w:val="0"/>
          <w:numId w:val="4"/>
        </w:numPr>
        <w:kinsoku/>
        <w:wordWrap/>
        <w:overflowPunct/>
        <w:topLinePunct w:val="0"/>
        <w:bidi w:val="0"/>
        <w:snapToGrid/>
        <w:spacing w:line="360" w:lineRule="auto"/>
        <w:ind w:left="0" w:leftChars="0"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若甲方提供的危险废物不在</w:t>
      </w:r>
      <w:r>
        <w:rPr>
          <w:rFonts w:hint="eastAsia" w:ascii="微软雅黑" w:hAnsi="微软雅黑" w:eastAsia="微软雅黑" w:cs="微软雅黑"/>
          <w:color w:val="000000" w:themeColor="text1"/>
          <w:sz w:val="24"/>
          <w:szCs w:val="24"/>
          <w:lang w:eastAsia="zh-CN"/>
          <w14:textFill>
            <w14:solidFill>
              <w14:schemeClr w14:val="tx1"/>
            </w14:solidFill>
          </w14:textFill>
        </w:rPr>
        <w:t>本合同</w:t>
      </w:r>
      <w:r>
        <w:rPr>
          <w:rFonts w:hint="eastAsia" w:ascii="微软雅黑" w:hAnsi="微软雅黑" w:eastAsia="微软雅黑" w:cs="微软雅黑"/>
          <w:color w:val="000000" w:themeColor="text1"/>
          <w:sz w:val="24"/>
          <w:szCs w:val="24"/>
          <w14:textFill>
            <w14:solidFill>
              <w14:schemeClr w14:val="tx1"/>
            </w14:solidFill>
          </w14:textFill>
        </w:rPr>
        <w:t>名录内，或废物性状发生较大变化，或因为某种特殊原因导致某些批次废物性状发生重大变化</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的</w:t>
      </w:r>
      <w:r>
        <w:rPr>
          <w:rFonts w:hint="eastAsia" w:ascii="微软雅黑" w:hAnsi="微软雅黑" w:eastAsia="微软雅黑" w:cs="微软雅黑"/>
          <w:color w:val="000000" w:themeColor="text1"/>
          <w:sz w:val="24"/>
          <w:szCs w:val="24"/>
          <w14:textFill>
            <w14:solidFill>
              <w14:schemeClr w14:val="tx1"/>
            </w14:solidFill>
          </w14:textFill>
        </w:rPr>
        <w:t>，甲方应及时通报乙方，并重新取样，重新确认废物名称、废物成分、包装容器、和处置费用等事项，经双方协商达成一致意见后，签订补充协议。如果甲方未及时告知乙方</w:t>
      </w: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乙方有权拒绝接收。</w:t>
      </w:r>
    </w:p>
    <w:p w14:paraId="37A0055A">
      <w:pPr>
        <w:keepNext w:val="0"/>
        <w:keepLines w:val="0"/>
        <w:pageBreakBefore w:val="0"/>
        <w:numPr>
          <w:ilvl w:val="0"/>
          <w:numId w:val="4"/>
        </w:numPr>
        <w:kinsoku/>
        <w:wordWrap/>
        <w:overflowPunct/>
        <w:topLinePunct w:val="0"/>
        <w:bidi w:val="0"/>
        <w:snapToGrid/>
        <w:spacing w:line="360" w:lineRule="auto"/>
        <w:ind w:left="0" w:leftChars="0"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甲方指定专人</w:t>
      </w: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姓名</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联系电话</w:t>
      </w:r>
      <w:r>
        <w:rPr>
          <w:rFonts w:hint="eastAsia" w:ascii="微软雅黑" w:hAnsi="微软雅黑" w:eastAsia="微软雅黑" w:cs="微软雅黑"/>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负责环保手续办理，废物种类确认、包装、清运、装卸、计量确认、费用支付等事宜。</w:t>
      </w:r>
    </w:p>
    <w:p w14:paraId="1D2503DD">
      <w:pPr>
        <w:keepNext w:val="0"/>
        <w:keepLines w:val="0"/>
        <w:pageBreakBefore w:val="0"/>
        <w:numPr>
          <w:ilvl w:val="0"/>
          <w:numId w:val="4"/>
        </w:numPr>
        <w:kinsoku/>
        <w:wordWrap/>
        <w:overflowPunct/>
        <w:topLinePunct w:val="0"/>
        <w:bidi w:val="0"/>
        <w:snapToGrid/>
        <w:spacing w:line="360" w:lineRule="auto"/>
        <w:ind w:left="0" w:leftChars="0"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甲方负责按照国家及地方环保部门要求办理移出地废物转移审批手续，在通知乙方安排废物运输时，对报批期限、种类及数量进行核实。</w:t>
      </w:r>
    </w:p>
    <w:p w14:paraId="47C0C830">
      <w:pPr>
        <w:keepNext w:val="0"/>
        <w:keepLines w:val="0"/>
        <w:pageBreakBefore w:val="0"/>
        <w:numPr>
          <w:ilvl w:val="0"/>
          <w:numId w:val="4"/>
        </w:numPr>
        <w:kinsoku/>
        <w:wordWrap/>
        <w:overflowPunct/>
        <w:topLinePunct w:val="0"/>
        <w:bidi w:val="0"/>
        <w:snapToGrid/>
        <w:spacing w:line="360" w:lineRule="auto"/>
        <w:ind w:left="0" w:leftChars="0"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危险废物运输当日,甲方必须按环保主管部门要求填写危险废物转移联单，并在乙方确认接收后10个工作日内将联单盖章寄回乙方。</w:t>
      </w:r>
    </w:p>
    <w:p w14:paraId="1E6DCC4A">
      <w:pPr>
        <w:keepNext w:val="0"/>
        <w:keepLines w:val="0"/>
        <w:pageBreakBefore w:val="0"/>
        <w:kinsoku/>
        <w:wordWrap/>
        <w:overflowPunct/>
        <w:topLinePunct w:val="0"/>
        <w:bidi w:val="0"/>
        <w:snapToGrid/>
        <w:spacing w:line="360" w:lineRule="auto"/>
        <w:ind w:left="0"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（二）乙方权利与义务：</w:t>
      </w:r>
    </w:p>
    <w:p w14:paraId="7A903BDB">
      <w:pPr>
        <w:keepNext w:val="0"/>
        <w:keepLines w:val="0"/>
        <w:pageBreakBefore w:val="0"/>
        <w:numPr>
          <w:ilvl w:val="0"/>
          <w:numId w:val="5"/>
        </w:numPr>
        <w:kinsoku/>
        <w:wordWrap/>
        <w:overflowPunct/>
        <w:topLinePunct w:val="0"/>
        <w:bidi w:val="0"/>
        <w:snapToGrid/>
        <w:spacing w:line="360" w:lineRule="auto"/>
        <w:ind w:left="0" w:leftChars="0"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乙方同意接受甲方委托，并保证具备提供该服务的法定资质，在服务期内乙方确保该资质持续有效，并提供有效的资质证明文件复印件供甲方查验。</w:t>
      </w:r>
    </w:p>
    <w:p w14:paraId="008BF74B">
      <w:pPr>
        <w:keepNext w:val="0"/>
        <w:keepLines w:val="0"/>
        <w:pageBreakBefore w:val="0"/>
        <w:numPr>
          <w:ilvl w:val="0"/>
          <w:numId w:val="5"/>
        </w:numPr>
        <w:kinsoku/>
        <w:wordWrap/>
        <w:overflowPunct/>
        <w:topLinePunct w:val="0"/>
        <w:bidi w:val="0"/>
        <w:snapToGrid/>
        <w:spacing w:line="360" w:lineRule="auto"/>
        <w:ind w:left="0" w:leftChars="0"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w:t>
      </w:r>
      <w:r>
        <w:rPr>
          <w:rFonts w:hint="eastAsia" w:ascii="微软雅黑" w:hAnsi="微软雅黑" w:eastAsia="微软雅黑" w:cs="微软雅黑"/>
          <w:color w:val="000000" w:themeColor="text1"/>
          <w:sz w:val="24"/>
          <w:szCs w:val="24"/>
          <w:lang w:eastAsia="zh-CN"/>
          <w14:textFill>
            <w14:solidFill>
              <w14:schemeClr w14:val="tx1"/>
            </w14:solidFill>
          </w14:textFill>
        </w:rPr>
        <w:t>不得</w:t>
      </w:r>
      <w:r>
        <w:rPr>
          <w:rFonts w:hint="eastAsia" w:ascii="微软雅黑" w:hAnsi="微软雅黑" w:eastAsia="微软雅黑" w:cs="微软雅黑"/>
          <w:color w:val="000000" w:themeColor="text1"/>
          <w:sz w:val="24"/>
          <w:szCs w:val="24"/>
          <w14:textFill>
            <w14:solidFill>
              <w14:schemeClr w14:val="tx1"/>
            </w14:solidFill>
          </w14:textFill>
        </w:rPr>
        <w:t>运输、接收、处理处置乙方经营许可范围之外的危险废物。</w:t>
      </w:r>
    </w:p>
    <w:p w14:paraId="533683BB">
      <w:pPr>
        <w:keepNext w:val="0"/>
        <w:keepLines w:val="0"/>
        <w:pageBreakBefore w:val="0"/>
        <w:numPr>
          <w:ilvl w:val="0"/>
          <w:numId w:val="5"/>
        </w:numPr>
        <w:kinsoku/>
        <w:wordWrap/>
        <w:overflowPunct/>
        <w:topLinePunct w:val="0"/>
        <w:bidi w:val="0"/>
        <w:snapToGrid/>
        <w:spacing w:line="360" w:lineRule="auto"/>
        <w:ind w:left="0" w:leftChars="0"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乙方负责</w:t>
      </w:r>
      <w:r>
        <w:rPr>
          <w:rFonts w:hint="eastAsia" w:ascii="微软雅黑" w:hAnsi="微软雅黑" w:eastAsia="微软雅黑" w:cs="微软雅黑"/>
          <w:color w:val="000000" w:themeColor="text1"/>
          <w:sz w:val="24"/>
          <w:szCs w:val="24"/>
          <w:lang w:eastAsia="zh-CN"/>
          <w14:textFill>
            <w14:solidFill>
              <w14:schemeClr w14:val="tx1"/>
            </w14:solidFill>
          </w14:textFill>
        </w:rPr>
        <w:t>本合同</w:t>
      </w:r>
      <w:r>
        <w:rPr>
          <w:rFonts w:hint="eastAsia" w:ascii="微软雅黑" w:hAnsi="微软雅黑" w:eastAsia="微软雅黑" w:cs="微软雅黑"/>
          <w:color w:val="000000" w:themeColor="text1"/>
          <w:sz w:val="24"/>
          <w:szCs w:val="24"/>
          <w14:textFill>
            <w14:solidFill>
              <w14:schemeClr w14:val="tx1"/>
            </w14:solidFill>
          </w14:textFill>
        </w:rPr>
        <w:t>有效期内，安全处理处置甲方移交的危险废物，不得擅自中止接收。</w:t>
      </w:r>
    </w:p>
    <w:p w14:paraId="75FE3A5C">
      <w:pPr>
        <w:keepNext w:val="0"/>
        <w:keepLines w:val="0"/>
        <w:pageBreakBefore w:val="0"/>
        <w:numPr>
          <w:ilvl w:val="0"/>
          <w:numId w:val="5"/>
        </w:numPr>
        <w:kinsoku/>
        <w:wordWrap/>
        <w:overflowPunct/>
        <w:topLinePunct w:val="0"/>
        <w:bidi w:val="0"/>
        <w:snapToGrid/>
        <w:spacing w:line="360" w:lineRule="auto"/>
        <w:ind w:left="0" w:leftChars="0"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乙方负责废物转移、费用结算、协助甲方处置核查等事宜。</w:t>
      </w:r>
    </w:p>
    <w:p w14:paraId="2D17195D">
      <w:pPr>
        <w:keepNext w:val="0"/>
        <w:keepLines w:val="0"/>
        <w:pageBreakBefore w:val="0"/>
        <w:numPr>
          <w:ilvl w:val="0"/>
          <w:numId w:val="5"/>
        </w:numPr>
        <w:kinsoku/>
        <w:wordWrap/>
        <w:overflowPunct/>
        <w:topLinePunct w:val="0"/>
        <w:bidi w:val="0"/>
        <w:snapToGrid/>
        <w:spacing w:line="360" w:lineRule="auto"/>
        <w:ind w:left="0" w:leftChars="0"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乙方提供危险废物转移报批资料空白模板，安排运输计划。</w:t>
      </w:r>
    </w:p>
    <w:p w14:paraId="5F0172FD">
      <w:pPr>
        <w:keepNext w:val="0"/>
        <w:keepLines w:val="0"/>
        <w:pageBreakBefore w:val="0"/>
        <w:numPr>
          <w:ilvl w:val="0"/>
          <w:numId w:val="5"/>
        </w:numPr>
        <w:kinsoku/>
        <w:wordWrap/>
        <w:overflowPunct/>
        <w:topLinePunct w:val="0"/>
        <w:bidi w:val="0"/>
        <w:snapToGrid/>
        <w:spacing w:line="360" w:lineRule="auto"/>
        <w:ind w:left="0" w:leftChars="0"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乙方负责办理废物移入地报批手续。</w:t>
      </w:r>
    </w:p>
    <w:p w14:paraId="2384AC9F">
      <w:pPr>
        <w:keepNext w:val="0"/>
        <w:keepLines w:val="0"/>
        <w:pageBreakBefore w:val="0"/>
        <w:numPr>
          <w:ilvl w:val="0"/>
          <w:numId w:val="5"/>
        </w:numPr>
        <w:kinsoku/>
        <w:wordWrap/>
        <w:overflowPunct/>
        <w:topLinePunct w:val="0"/>
        <w:bidi w:val="0"/>
        <w:snapToGrid/>
        <w:spacing w:line="360" w:lineRule="auto"/>
        <w:ind w:left="0" w:leftChars="0"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乙方有权对甲方要求处置的危险废物进行抽检，若检测结果与甲方提供的种类、性状证明有明显差别时，经双方协商，签订补充协议，否则乙方有权拒绝接收。</w:t>
      </w:r>
    </w:p>
    <w:p w14:paraId="6C87A749">
      <w:pPr>
        <w:keepNext w:val="0"/>
        <w:keepLines w:val="0"/>
        <w:pageBreakBefore w:val="0"/>
        <w:numPr>
          <w:ilvl w:val="0"/>
          <w:numId w:val="5"/>
        </w:numPr>
        <w:kinsoku/>
        <w:wordWrap/>
        <w:overflowPunct/>
        <w:topLinePunct w:val="0"/>
        <w:bidi w:val="0"/>
        <w:snapToGrid/>
        <w:spacing w:line="360" w:lineRule="auto"/>
        <w:ind w:left="0" w:leftChars="0"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自乙方进入甲方存储地点之时起，危险废物的保管责任由乙方承担，如果发生泄露、倾倒或其他事故，乙方负责清理并承担责任。</w:t>
      </w:r>
    </w:p>
    <w:p w14:paraId="215B4DC8">
      <w:pPr>
        <w:keepNext w:val="0"/>
        <w:keepLines w:val="0"/>
        <w:pageBreakBefore w:val="0"/>
        <w:numPr>
          <w:ilvl w:val="0"/>
          <w:numId w:val="5"/>
        </w:numPr>
        <w:kinsoku/>
        <w:wordWrap/>
        <w:overflowPunct/>
        <w:topLinePunct w:val="0"/>
        <w:bidi w:val="0"/>
        <w:snapToGrid/>
        <w:spacing w:line="360" w:lineRule="auto"/>
        <w:ind w:left="0" w:leftChars="0"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乙方在进行废物回收作业过程中应注意安全，若因乙方自己在操作不当等情况下发生安全事故，乙方自行承担其相应责任，赔偿由此给甲方造成的损失。</w:t>
      </w:r>
    </w:p>
    <w:p w14:paraId="3DEB3BE8">
      <w:pPr>
        <w:keepNext w:val="0"/>
        <w:keepLines w:val="0"/>
        <w:pageBreakBefore w:val="0"/>
        <w:numPr>
          <w:ilvl w:val="0"/>
          <w:numId w:val="5"/>
        </w:numPr>
        <w:kinsoku/>
        <w:wordWrap/>
        <w:overflowPunct/>
        <w:topLinePunct w:val="0"/>
        <w:bidi w:val="0"/>
        <w:snapToGrid/>
        <w:spacing w:line="360" w:lineRule="auto"/>
        <w:ind w:left="0" w:leftChars="0"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乙方应当严格按照《危险废物转移联单管理办法》的有关规定如实填写《危险废物转移联单》接受单位部分，若未如实填写，产生的相应后果均由乙方承担。</w:t>
      </w:r>
    </w:p>
    <w:p w14:paraId="08FCCAAD">
      <w:pPr>
        <w:keepNext w:val="0"/>
        <w:keepLines w:val="0"/>
        <w:pageBreakBefore w:val="0"/>
        <w:numPr>
          <w:ilvl w:val="0"/>
          <w:numId w:val="0"/>
        </w:numPr>
        <w:kinsoku/>
        <w:wordWrap/>
        <w:overflowPunct/>
        <w:topLinePunct w:val="0"/>
        <w:bidi w:val="0"/>
        <w:snapToGrid/>
        <w:spacing w:line="360" w:lineRule="auto"/>
        <w:ind w:leftChars="0"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p>
    <w:p w14:paraId="3F0B926F">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委托服务费用</w:t>
      </w:r>
    </w:p>
    <w:p w14:paraId="5F11C687">
      <w:pPr>
        <w:keepNext w:val="0"/>
        <w:keepLines w:val="0"/>
        <w:pageBreakBefore w:val="0"/>
        <w:numPr>
          <w:ilvl w:val="0"/>
          <w:numId w:val="6"/>
        </w:numPr>
        <w:kinsoku/>
        <w:wordWrap/>
        <w:overflowPunct/>
        <w:topLinePunct w:val="0"/>
        <w:bidi w:val="0"/>
        <w:snapToGrid/>
        <w:spacing w:line="360" w:lineRule="auto"/>
        <w:ind w:left="0" w:leftChars="0" w:firstLine="480" w:firstLineChars="200"/>
        <w:jc w:val="both"/>
        <w:rPr>
          <w:rFonts w:hint="eastAsia" w:ascii="微软雅黑" w:hAnsi="微软雅黑" w:eastAsia="微软雅黑" w:cs="微软雅黑"/>
          <w:b w:val="0"/>
          <w:bCs/>
          <w:color w:val="000000" w:themeColor="text1"/>
          <w:sz w:val="24"/>
          <w:szCs w:val="24"/>
          <w14:textFill>
            <w14:solidFill>
              <w14:schemeClr w14:val="tx1"/>
            </w14:solidFill>
          </w14:textFill>
        </w:rPr>
      </w:pPr>
      <w:r>
        <w:rPr>
          <w:rFonts w:hint="eastAsia" w:ascii="微软雅黑" w:hAnsi="微软雅黑" w:eastAsia="微软雅黑" w:cs="微软雅黑"/>
          <w:b w:val="0"/>
          <w:bCs/>
          <w:color w:val="000000" w:themeColor="text1"/>
          <w:sz w:val="24"/>
          <w:szCs w:val="24"/>
          <w14:textFill>
            <w14:solidFill>
              <w14:schemeClr w14:val="tx1"/>
            </w14:solidFill>
          </w14:textFill>
        </w:rPr>
        <w:t>处置费</w:t>
      </w:r>
      <w:r>
        <w:rPr>
          <w:rFonts w:hint="eastAsia" w:ascii="微软雅黑" w:hAnsi="微软雅黑" w:eastAsia="微软雅黑" w:cs="微软雅黑"/>
          <w:b w:val="0"/>
          <w:bCs/>
          <w:color w:val="000000" w:themeColor="text1"/>
          <w:sz w:val="24"/>
          <w:szCs w:val="24"/>
          <w:lang w:eastAsia="zh-CN"/>
          <w14:textFill>
            <w14:solidFill>
              <w14:schemeClr w14:val="tx1"/>
            </w14:solidFill>
          </w14:textFill>
        </w:rPr>
        <w:t>：每</w:t>
      </w:r>
      <w:r>
        <w:rPr>
          <w:rFonts w:hint="eastAsia" w:ascii="微软雅黑" w:hAnsi="微软雅黑" w:eastAsia="微软雅黑" w:cs="微软雅黑"/>
          <w:b w:val="0"/>
          <w:bCs/>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b w:val="0"/>
          <w:bCs/>
          <w:color w:val="000000" w:themeColor="text1"/>
          <w:sz w:val="24"/>
          <w:szCs w:val="24"/>
          <w:lang w:val="en-US" w:eastAsia="zh-CN"/>
          <w14:textFill>
            <w14:solidFill>
              <w14:schemeClr w14:val="tx1"/>
            </w14:solidFill>
          </w14:textFill>
        </w:rPr>
        <w:t>元</w:t>
      </w:r>
      <w:r>
        <w:rPr>
          <w:rFonts w:hint="eastAsia" w:ascii="微软雅黑" w:hAnsi="微软雅黑" w:eastAsia="微软雅黑" w:cs="微软雅黑"/>
          <w:color w:val="000000" w:themeColor="text1"/>
          <w:sz w:val="24"/>
          <w:szCs w:val="24"/>
          <w14:textFill>
            <w14:solidFill>
              <w14:schemeClr w14:val="tx1"/>
            </w14:solidFill>
          </w14:textFill>
        </w:rPr>
        <w:t>。</w:t>
      </w:r>
    </w:p>
    <w:p w14:paraId="66E408CB">
      <w:pPr>
        <w:keepNext w:val="0"/>
        <w:keepLines w:val="0"/>
        <w:pageBreakBefore w:val="0"/>
        <w:numPr>
          <w:ilvl w:val="0"/>
          <w:numId w:val="6"/>
        </w:numPr>
        <w:kinsoku/>
        <w:wordWrap/>
        <w:overflowPunct/>
        <w:topLinePunct w:val="0"/>
        <w:bidi w:val="0"/>
        <w:snapToGrid/>
        <w:spacing w:line="360" w:lineRule="auto"/>
        <w:ind w:left="0" w:leftChars="0" w:firstLine="480" w:firstLineChars="200"/>
        <w:jc w:val="both"/>
        <w:rPr>
          <w:rFonts w:hint="eastAsia" w:ascii="微软雅黑" w:hAnsi="微软雅黑" w:eastAsia="微软雅黑" w:cs="微软雅黑"/>
          <w:b w:val="0"/>
          <w:bCs/>
          <w:color w:val="000000" w:themeColor="text1"/>
          <w:sz w:val="24"/>
          <w:szCs w:val="24"/>
          <w14:textFill>
            <w14:solidFill>
              <w14:schemeClr w14:val="tx1"/>
            </w14:solidFill>
          </w14:textFill>
        </w:rPr>
      </w:pPr>
      <w:r>
        <w:rPr>
          <w:rFonts w:hint="eastAsia" w:ascii="微软雅黑" w:hAnsi="微软雅黑" w:eastAsia="微软雅黑" w:cs="微软雅黑"/>
          <w:b w:val="0"/>
          <w:bCs/>
          <w:color w:val="000000" w:themeColor="text1"/>
          <w:sz w:val="24"/>
          <w:szCs w:val="24"/>
          <w14:textFill>
            <w14:solidFill>
              <w14:schemeClr w14:val="tx1"/>
            </w14:solidFill>
          </w14:textFill>
        </w:rPr>
        <w:t>运输费：车辆规格为</w:t>
      </w:r>
      <w:r>
        <w:rPr>
          <w:rFonts w:hint="eastAsia" w:ascii="微软雅黑" w:hAnsi="微软雅黑" w:eastAsia="微软雅黑" w:cs="微软雅黑"/>
          <w:b w:val="0"/>
          <w:bCs/>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b w:val="0"/>
          <w:bCs/>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b w:val="0"/>
          <w:bCs/>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b w:val="0"/>
          <w:bCs/>
          <w:color w:val="000000" w:themeColor="text1"/>
          <w:sz w:val="24"/>
          <w:szCs w:val="24"/>
          <w:u w:val="none"/>
          <w:lang w:eastAsia="zh-CN"/>
          <w14:textFill>
            <w14:solidFill>
              <w14:schemeClr w14:val="tx1"/>
            </w14:solidFill>
          </w14:textFill>
        </w:rPr>
        <w:t>的</w:t>
      </w:r>
      <w:r>
        <w:rPr>
          <w:rFonts w:hint="eastAsia" w:ascii="微软雅黑" w:hAnsi="微软雅黑" w:eastAsia="微软雅黑" w:cs="微软雅黑"/>
          <w:b w:val="0"/>
          <w:bCs/>
          <w:color w:val="000000" w:themeColor="text1"/>
          <w:sz w:val="24"/>
          <w:szCs w:val="24"/>
          <w14:textFill>
            <w14:solidFill>
              <w14:schemeClr w14:val="tx1"/>
            </w14:solidFill>
          </w14:textFill>
        </w:rPr>
        <w:t>，</w:t>
      </w:r>
      <w:r>
        <w:rPr>
          <w:rFonts w:hint="eastAsia" w:ascii="微软雅黑" w:hAnsi="微软雅黑" w:eastAsia="微软雅黑" w:cs="微软雅黑"/>
          <w:b w:val="0"/>
          <w:bCs/>
          <w:color w:val="000000" w:themeColor="text1"/>
          <w:sz w:val="24"/>
          <w:szCs w:val="24"/>
          <w:lang w:eastAsia="zh-CN"/>
          <w14:textFill>
            <w14:solidFill>
              <w14:schemeClr w14:val="tx1"/>
            </w14:solidFill>
          </w14:textFill>
        </w:rPr>
        <w:t>每公里</w:t>
      </w:r>
      <w:r>
        <w:rPr>
          <w:rFonts w:hint="eastAsia" w:ascii="微软雅黑" w:hAnsi="微软雅黑" w:eastAsia="微软雅黑" w:cs="微软雅黑"/>
          <w:b w:val="0"/>
          <w:bCs/>
          <w:color w:val="000000" w:themeColor="text1"/>
          <w:sz w:val="24"/>
          <w:szCs w:val="24"/>
          <w14:textFill>
            <w14:solidFill>
              <w14:schemeClr w14:val="tx1"/>
            </w14:solidFill>
          </w14:textFill>
        </w:rPr>
        <w:t>运输单价为</w:t>
      </w:r>
      <w:r>
        <w:rPr>
          <w:rFonts w:hint="eastAsia" w:ascii="微软雅黑" w:hAnsi="微软雅黑" w:eastAsia="微软雅黑" w:cs="微软雅黑"/>
          <w:b w:val="0"/>
          <w:bCs/>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b w:val="0"/>
          <w:bCs/>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b w:val="0"/>
          <w:bCs/>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b w:val="0"/>
          <w:bCs/>
          <w:color w:val="000000" w:themeColor="text1"/>
          <w:sz w:val="24"/>
          <w:szCs w:val="24"/>
          <w14:textFill>
            <w14:solidFill>
              <w14:schemeClr w14:val="tx1"/>
            </w14:solidFill>
          </w14:textFill>
        </w:rPr>
        <w:t>元/车•次，车辆规格为</w:t>
      </w:r>
      <w:r>
        <w:rPr>
          <w:rFonts w:hint="eastAsia" w:ascii="微软雅黑" w:hAnsi="微软雅黑" w:eastAsia="微软雅黑" w:cs="微软雅黑"/>
          <w:b w:val="0"/>
          <w:bCs/>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b w:val="0"/>
          <w:bCs/>
          <w:color w:val="000000" w:themeColor="text1"/>
          <w:sz w:val="24"/>
          <w:szCs w:val="24"/>
          <w:u w:val="none"/>
          <w:lang w:eastAsia="zh-CN"/>
          <w14:textFill>
            <w14:solidFill>
              <w14:schemeClr w14:val="tx1"/>
            </w14:solidFill>
          </w14:textFill>
        </w:rPr>
        <w:t>的</w:t>
      </w:r>
      <w:r>
        <w:rPr>
          <w:rFonts w:hint="eastAsia" w:ascii="微软雅黑" w:hAnsi="微软雅黑" w:eastAsia="微软雅黑" w:cs="微软雅黑"/>
          <w:b w:val="0"/>
          <w:bCs/>
          <w:color w:val="000000" w:themeColor="text1"/>
          <w:sz w:val="24"/>
          <w:szCs w:val="24"/>
          <w14:textFill>
            <w14:solidFill>
              <w14:schemeClr w14:val="tx1"/>
            </w14:solidFill>
          </w14:textFill>
        </w:rPr>
        <w:t>，</w:t>
      </w:r>
      <w:r>
        <w:rPr>
          <w:rFonts w:hint="eastAsia" w:ascii="微软雅黑" w:hAnsi="微软雅黑" w:eastAsia="微软雅黑" w:cs="微软雅黑"/>
          <w:b w:val="0"/>
          <w:bCs/>
          <w:color w:val="000000" w:themeColor="text1"/>
          <w:sz w:val="24"/>
          <w:szCs w:val="24"/>
          <w:lang w:eastAsia="zh-CN"/>
          <w14:textFill>
            <w14:solidFill>
              <w14:schemeClr w14:val="tx1"/>
            </w14:solidFill>
          </w14:textFill>
        </w:rPr>
        <w:t>每公里</w:t>
      </w:r>
      <w:r>
        <w:rPr>
          <w:rFonts w:hint="eastAsia" w:ascii="微软雅黑" w:hAnsi="微软雅黑" w:eastAsia="微软雅黑" w:cs="微软雅黑"/>
          <w:b w:val="0"/>
          <w:bCs/>
          <w:color w:val="000000" w:themeColor="text1"/>
          <w:sz w:val="24"/>
          <w:szCs w:val="24"/>
          <w14:textFill>
            <w14:solidFill>
              <w14:schemeClr w14:val="tx1"/>
            </w14:solidFill>
          </w14:textFill>
        </w:rPr>
        <w:t>运输单价为</w:t>
      </w:r>
      <w:r>
        <w:rPr>
          <w:rFonts w:hint="eastAsia" w:ascii="微软雅黑" w:hAnsi="微软雅黑" w:eastAsia="微软雅黑" w:cs="微软雅黑"/>
          <w:b w:val="0"/>
          <w:bCs/>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b w:val="0"/>
          <w:bCs/>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b w:val="0"/>
          <w:bCs/>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b w:val="0"/>
          <w:bCs/>
          <w:color w:val="000000" w:themeColor="text1"/>
          <w:sz w:val="24"/>
          <w:szCs w:val="24"/>
          <w14:textFill>
            <w14:solidFill>
              <w14:schemeClr w14:val="tx1"/>
            </w14:solidFill>
          </w14:textFill>
        </w:rPr>
        <w:t>元/车•次。</w:t>
      </w:r>
    </w:p>
    <w:p w14:paraId="17290409">
      <w:pPr>
        <w:keepNext w:val="0"/>
        <w:keepLines w:val="0"/>
        <w:pageBreakBefore w:val="0"/>
        <w:numPr>
          <w:ilvl w:val="0"/>
          <w:numId w:val="6"/>
        </w:numPr>
        <w:kinsoku/>
        <w:wordWrap/>
        <w:overflowPunct/>
        <w:topLinePunct w:val="0"/>
        <w:bidi w:val="0"/>
        <w:snapToGrid/>
        <w:spacing w:line="360" w:lineRule="auto"/>
        <w:ind w:left="0" w:leftChars="0" w:firstLine="480" w:firstLineChars="200"/>
        <w:jc w:val="both"/>
        <w:rPr>
          <w:rFonts w:hint="eastAsia" w:ascii="微软雅黑" w:hAnsi="微软雅黑" w:eastAsia="微软雅黑" w:cs="微软雅黑"/>
          <w:b w:val="0"/>
          <w:bCs/>
          <w:color w:val="000000" w:themeColor="text1"/>
          <w:sz w:val="24"/>
          <w:szCs w:val="24"/>
          <w14:textFill>
            <w14:solidFill>
              <w14:schemeClr w14:val="tx1"/>
            </w14:solidFill>
          </w14:textFill>
        </w:rPr>
      </w:pPr>
      <w:r>
        <w:rPr>
          <w:rFonts w:hint="eastAsia" w:ascii="微软雅黑" w:hAnsi="微软雅黑" w:eastAsia="微软雅黑" w:cs="微软雅黑"/>
          <w:b w:val="0"/>
          <w:bCs/>
          <w:color w:val="000000" w:themeColor="text1"/>
          <w:sz w:val="24"/>
          <w:szCs w:val="24"/>
          <w14:textFill>
            <w14:solidFill>
              <w14:schemeClr w14:val="tx1"/>
            </w14:solidFill>
          </w14:textFill>
        </w:rPr>
        <w:t>包装费：包装物名称及规格</w:t>
      </w:r>
      <w:r>
        <w:rPr>
          <w:rFonts w:hint="eastAsia" w:ascii="微软雅黑" w:hAnsi="微软雅黑" w:eastAsia="微软雅黑" w:cs="微软雅黑"/>
          <w:b w:val="0"/>
          <w:bCs/>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b w:val="0"/>
          <w:bCs/>
          <w:color w:val="000000" w:themeColor="text1"/>
          <w:sz w:val="24"/>
          <w:szCs w:val="24"/>
          <w14:textFill>
            <w14:solidFill>
              <w14:schemeClr w14:val="tx1"/>
            </w14:solidFill>
          </w14:textFill>
        </w:rPr>
        <w:t>，单价</w:t>
      </w:r>
      <w:r>
        <w:rPr>
          <w:rFonts w:hint="eastAsia" w:ascii="微软雅黑" w:hAnsi="微软雅黑" w:eastAsia="微软雅黑" w:cs="微软雅黑"/>
          <w:b w:val="0"/>
          <w:bCs/>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b w:val="0"/>
          <w:bCs/>
          <w:color w:val="000000" w:themeColor="text1"/>
          <w:sz w:val="24"/>
          <w:szCs w:val="24"/>
          <w14:textFill>
            <w14:solidFill>
              <w14:schemeClr w14:val="tx1"/>
            </w14:solidFill>
          </w14:textFill>
        </w:rPr>
        <w:t>，根据实际使用数量收取。</w:t>
      </w:r>
    </w:p>
    <w:p w14:paraId="6F949C03">
      <w:pPr>
        <w:keepNext w:val="0"/>
        <w:keepLines w:val="0"/>
        <w:pageBreakBefore w:val="0"/>
        <w:numPr>
          <w:ilvl w:val="0"/>
          <w:numId w:val="6"/>
        </w:numPr>
        <w:kinsoku/>
        <w:wordWrap/>
        <w:overflowPunct/>
        <w:topLinePunct w:val="0"/>
        <w:bidi w:val="0"/>
        <w:snapToGrid/>
        <w:spacing w:line="360" w:lineRule="auto"/>
        <w:ind w:left="0" w:leftChars="0" w:firstLine="480" w:firstLineChars="200"/>
        <w:jc w:val="both"/>
        <w:rPr>
          <w:rFonts w:hint="eastAsia" w:ascii="微软雅黑" w:hAnsi="微软雅黑" w:eastAsia="微软雅黑" w:cs="微软雅黑"/>
          <w:b w:val="0"/>
          <w:bCs/>
          <w:color w:val="000000" w:themeColor="text1"/>
          <w:sz w:val="24"/>
          <w:szCs w:val="24"/>
          <w14:textFill>
            <w14:solidFill>
              <w14:schemeClr w14:val="tx1"/>
            </w14:solidFill>
          </w14:textFill>
        </w:rPr>
      </w:pPr>
      <w:r>
        <w:rPr>
          <w:rFonts w:hint="eastAsia" w:ascii="微软雅黑" w:hAnsi="微软雅黑" w:eastAsia="微软雅黑" w:cs="微软雅黑"/>
          <w:b w:val="0"/>
          <w:bCs/>
          <w:color w:val="000000" w:themeColor="text1"/>
          <w:sz w:val="24"/>
          <w:szCs w:val="24"/>
          <w14:textFill>
            <w14:solidFill>
              <w14:schemeClr w14:val="tx1"/>
            </w14:solidFill>
          </w14:textFill>
        </w:rPr>
        <w:t>搬运装卸费：</w:t>
      </w:r>
      <w:r>
        <w:rPr>
          <w:rFonts w:hint="eastAsia" w:ascii="微软雅黑" w:hAnsi="微软雅黑" w:eastAsia="微软雅黑" w:cs="微软雅黑"/>
          <w:b w:val="0"/>
          <w:bCs/>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b w:val="0"/>
          <w:bCs/>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b w:val="0"/>
          <w:bCs/>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b w:val="0"/>
          <w:bCs/>
          <w:color w:val="000000" w:themeColor="text1"/>
          <w:sz w:val="24"/>
          <w:szCs w:val="24"/>
          <w14:textFill>
            <w14:solidFill>
              <w14:schemeClr w14:val="tx1"/>
            </w14:solidFill>
          </w14:textFill>
        </w:rPr>
        <w:t>元/人•天，按实际使用人数及天数收取搬运装卸费。</w:t>
      </w:r>
      <w:r>
        <w:rPr>
          <w:rFonts w:hint="eastAsia" w:ascii="微软雅黑" w:hAnsi="微软雅黑" w:eastAsia="微软雅黑" w:cs="微软雅黑"/>
          <w:b w:val="0"/>
          <w:bCs/>
          <w:color w:val="000000" w:themeColor="text1"/>
          <w:sz w:val="24"/>
          <w:szCs w:val="24"/>
          <w:lang w:eastAsia="zh-CN"/>
          <w14:textFill>
            <w14:solidFill>
              <w14:schemeClr w14:val="tx1"/>
            </w14:solidFill>
          </w14:textFill>
        </w:rPr>
        <w:t>乙方</w:t>
      </w:r>
      <w:r>
        <w:rPr>
          <w:rFonts w:hint="eastAsia" w:ascii="微软雅黑" w:hAnsi="微软雅黑" w:eastAsia="微软雅黑" w:cs="微软雅黑"/>
          <w:b w:val="0"/>
          <w:bCs/>
          <w:color w:val="000000" w:themeColor="text1"/>
          <w:sz w:val="24"/>
          <w:szCs w:val="24"/>
          <w14:textFill>
            <w14:solidFill>
              <w14:schemeClr w14:val="tx1"/>
            </w14:solidFill>
          </w14:textFill>
        </w:rPr>
        <w:t>使用</w:t>
      </w:r>
      <w:r>
        <w:rPr>
          <w:rFonts w:hint="eastAsia" w:ascii="微软雅黑" w:hAnsi="微软雅黑" w:eastAsia="微软雅黑" w:cs="微软雅黑"/>
          <w:b w:val="0"/>
          <w:bCs/>
          <w:color w:val="000000" w:themeColor="text1"/>
          <w:sz w:val="24"/>
          <w:szCs w:val="24"/>
          <w:lang w:eastAsia="zh-CN"/>
          <w14:textFill>
            <w14:solidFill>
              <w14:schemeClr w14:val="tx1"/>
            </w14:solidFill>
          </w14:textFill>
        </w:rPr>
        <w:t>非与乙方签订劳动合同的人员</w:t>
      </w:r>
      <w:r>
        <w:rPr>
          <w:rFonts w:hint="eastAsia" w:ascii="微软雅黑" w:hAnsi="微软雅黑" w:eastAsia="微软雅黑" w:cs="微软雅黑"/>
          <w:b w:val="0"/>
          <w:bCs/>
          <w:color w:val="000000" w:themeColor="text1"/>
          <w:sz w:val="24"/>
          <w:szCs w:val="24"/>
          <w14:textFill>
            <w14:solidFill>
              <w14:schemeClr w14:val="tx1"/>
            </w14:solidFill>
          </w14:textFill>
        </w:rPr>
        <w:t>的，</w:t>
      </w:r>
      <w:r>
        <w:rPr>
          <w:rFonts w:hint="eastAsia" w:ascii="微软雅黑" w:hAnsi="微软雅黑" w:eastAsia="微软雅黑" w:cs="微软雅黑"/>
          <w:b w:val="0"/>
          <w:bCs/>
          <w:color w:val="000000" w:themeColor="text1"/>
          <w:sz w:val="24"/>
          <w:szCs w:val="24"/>
          <w:lang w:eastAsia="zh-CN"/>
          <w14:textFill>
            <w14:solidFill>
              <w14:schemeClr w14:val="tx1"/>
            </w14:solidFill>
          </w14:textFill>
        </w:rPr>
        <w:t>费用由乙方自行承担</w:t>
      </w:r>
      <w:r>
        <w:rPr>
          <w:rFonts w:hint="eastAsia" w:ascii="微软雅黑" w:hAnsi="微软雅黑" w:eastAsia="微软雅黑" w:cs="微软雅黑"/>
          <w:b w:val="0"/>
          <w:bCs/>
          <w:color w:val="000000" w:themeColor="text1"/>
          <w:sz w:val="24"/>
          <w:szCs w:val="24"/>
          <w14:textFill>
            <w14:solidFill>
              <w14:schemeClr w14:val="tx1"/>
            </w14:solidFill>
          </w14:textFill>
        </w:rPr>
        <w:t>。</w:t>
      </w:r>
    </w:p>
    <w:p w14:paraId="71BE18C8">
      <w:pPr>
        <w:keepNext w:val="0"/>
        <w:keepLines w:val="0"/>
        <w:pageBreakBefore w:val="0"/>
        <w:numPr>
          <w:ilvl w:val="0"/>
          <w:numId w:val="6"/>
        </w:numPr>
        <w:kinsoku/>
        <w:wordWrap/>
        <w:overflowPunct/>
        <w:topLinePunct w:val="0"/>
        <w:bidi w:val="0"/>
        <w:snapToGrid/>
        <w:spacing w:line="360" w:lineRule="auto"/>
        <w:ind w:left="0" w:leftChars="0"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val="0"/>
          <w:bCs/>
          <w:color w:val="000000" w:themeColor="text1"/>
          <w:sz w:val="24"/>
          <w:szCs w:val="24"/>
          <w:lang w:eastAsia="zh-CN"/>
          <w14:textFill>
            <w14:solidFill>
              <w14:schemeClr w14:val="tx1"/>
            </w14:solidFill>
          </w14:textFill>
        </w:rPr>
        <w:t>本合同价款为含税价，</w:t>
      </w:r>
      <w:r>
        <w:rPr>
          <w:rFonts w:hint="eastAsia" w:ascii="微软雅黑" w:hAnsi="微软雅黑" w:eastAsia="微软雅黑" w:cs="微软雅黑"/>
          <w:b w:val="0"/>
          <w:bCs/>
          <w:color w:val="000000" w:themeColor="text1"/>
          <w:sz w:val="24"/>
          <w:szCs w:val="24"/>
          <w14:textFill>
            <w14:solidFill>
              <w14:schemeClr w14:val="tx1"/>
            </w14:solidFill>
          </w14:textFill>
        </w:rPr>
        <w:t>若合同执行期间政府部门新增或调整有关的税、费，自政策落实之日起，税费按政府部门新调整的税费执行</w:t>
      </w:r>
      <w:r>
        <w:rPr>
          <w:rFonts w:hint="eastAsia" w:ascii="微软雅黑" w:hAnsi="微软雅黑" w:eastAsia="微软雅黑" w:cs="微软雅黑"/>
          <w:b w:val="0"/>
          <w:bCs/>
          <w:color w:val="000000" w:themeColor="text1"/>
          <w:sz w:val="24"/>
          <w:szCs w:val="24"/>
          <w:lang w:eastAsia="zh-CN"/>
          <w14:textFill>
            <w14:solidFill>
              <w14:schemeClr w14:val="tx1"/>
            </w14:solidFill>
          </w14:textFill>
        </w:rPr>
        <w:t>，但合同单价不变</w:t>
      </w:r>
      <w:r>
        <w:rPr>
          <w:rFonts w:hint="eastAsia" w:ascii="微软雅黑" w:hAnsi="微软雅黑" w:eastAsia="微软雅黑" w:cs="微软雅黑"/>
          <w:b w:val="0"/>
          <w:bCs/>
          <w:color w:val="000000" w:themeColor="text1"/>
          <w:sz w:val="24"/>
          <w:szCs w:val="24"/>
          <w14:textFill>
            <w14:solidFill>
              <w14:schemeClr w14:val="tx1"/>
            </w14:solidFill>
          </w14:textFill>
        </w:rPr>
        <w:t>。</w:t>
      </w:r>
    </w:p>
    <w:p w14:paraId="4315DAB3">
      <w:pPr>
        <w:keepNext w:val="0"/>
        <w:keepLines w:val="0"/>
        <w:pageBreakBefore w:val="0"/>
        <w:numPr>
          <w:ilvl w:val="0"/>
          <w:numId w:val="6"/>
        </w:numPr>
        <w:kinsoku/>
        <w:wordWrap/>
        <w:overflowPunct/>
        <w:topLinePunct w:val="0"/>
        <w:bidi w:val="0"/>
        <w:snapToGrid/>
        <w:spacing w:line="360" w:lineRule="auto"/>
        <w:ind w:left="0" w:leftChars="0"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val="0"/>
          <w:bCs/>
          <w:color w:val="000000" w:themeColor="text1"/>
          <w:sz w:val="24"/>
          <w:szCs w:val="24"/>
          <w:lang w:eastAsia="zh-CN"/>
          <w14:textFill>
            <w14:solidFill>
              <w14:schemeClr w14:val="tx1"/>
            </w14:solidFill>
          </w14:textFill>
        </w:rPr>
        <w:t>结算</w:t>
      </w:r>
      <w:r>
        <w:rPr>
          <w:rFonts w:hint="eastAsia" w:ascii="微软雅黑" w:hAnsi="微软雅黑" w:eastAsia="微软雅黑" w:cs="微软雅黑"/>
          <w:color w:val="000000" w:themeColor="text1"/>
          <w:sz w:val="24"/>
          <w:szCs w:val="24"/>
          <w14:textFill>
            <w14:solidFill>
              <w14:schemeClr w14:val="tx1"/>
            </w14:solidFill>
          </w14:textFill>
        </w:rPr>
        <w:t>方式：</w:t>
      </w:r>
      <w:r>
        <w:rPr>
          <w:rFonts w:hint="eastAsia" w:ascii="微软雅黑" w:hAnsi="微软雅黑" w:eastAsia="微软雅黑" w:cs="微软雅黑"/>
          <w:b w:val="0"/>
          <w:bCs/>
          <w:color w:val="000000" w:themeColor="text1"/>
          <w:sz w:val="24"/>
          <w:szCs w:val="24"/>
          <w:lang w:val="en-US" w:eastAsia="zh-CN"/>
          <w14:textFill>
            <w14:solidFill>
              <w14:schemeClr w14:val="tx1"/>
            </w14:solidFill>
          </w14:textFill>
        </w:rPr>
        <w:t>根据每次实际处置量结算，</w:t>
      </w:r>
      <w:r>
        <w:rPr>
          <w:rFonts w:hint="eastAsia" w:ascii="微软雅黑" w:hAnsi="微软雅黑" w:eastAsia="微软雅黑" w:cs="微软雅黑"/>
          <w:color w:val="000000" w:themeColor="text1"/>
          <w:sz w:val="24"/>
          <w:szCs w:val="24"/>
          <w14:textFill>
            <w14:solidFill>
              <w14:schemeClr w14:val="tx1"/>
            </w14:solidFill>
          </w14:textFill>
        </w:rPr>
        <w:t>甲方若具备计量条件可当场计量，甲方废物到达乙方厂区后过磅复核（按国家标准符合误差为正负千分之三）</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7DA5DCD2">
      <w:pPr>
        <w:keepNext w:val="0"/>
        <w:keepLines w:val="0"/>
        <w:pageBreakBefore w:val="0"/>
        <w:numPr>
          <w:ilvl w:val="0"/>
          <w:numId w:val="6"/>
        </w:numPr>
        <w:kinsoku/>
        <w:wordWrap/>
        <w:overflowPunct/>
        <w:topLinePunct w:val="0"/>
        <w:bidi w:val="0"/>
        <w:snapToGrid/>
        <w:spacing w:line="360" w:lineRule="auto"/>
        <w:ind w:left="0" w:leftChars="0"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支付方式：</w:t>
      </w:r>
      <w:r>
        <w:rPr>
          <w:rFonts w:hint="eastAsia" w:ascii="微软雅黑" w:hAnsi="微软雅黑" w:eastAsia="微软雅黑" w:cs="微软雅黑"/>
          <w:color w:val="000000" w:themeColor="text1"/>
          <w:sz w:val="24"/>
          <w:szCs w:val="24"/>
          <w14:textFill>
            <w14:solidFill>
              <w14:schemeClr w14:val="tx1"/>
            </w14:solidFill>
          </w14:textFill>
        </w:rPr>
        <w:t>在乙方接收危险废物</w:t>
      </w:r>
      <w:r>
        <w:rPr>
          <w:rFonts w:hint="eastAsia" w:ascii="微软雅黑" w:hAnsi="微软雅黑" w:eastAsia="微软雅黑" w:cs="微软雅黑"/>
          <w:color w:val="000000" w:themeColor="text1"/>
          <w:sz w:val="24"/>
          <w:szCs w:val="24"/>
          <w:lang w:eastAsia="zh-CN"/>
          <w14:textFill>
            <w14:solidFill>
              <w14:schemeClr w14:val="tx1"/>
            </w14:solidFill>
          </w14:textFill>
        </w:rPr>
        <w:t>、双方结算完毕</w:t>
      </w:r>
      <w:r>
        <w:rPr>
          <w:rFonts w:hint="eastAsia" w:ascii="微软雅黑" w:hAnsi="微软雅黑" w:eastAsia="微软雅黑" w:cs="微软雅黑"/>
          <w:color w:val="000000" w:themeColor="text1"/>
          <w:sz w:val="24"/>
          <w:szCs w:val="24"/>
          <w14:textFill>
            <w14:solidFill>
              <w14:schemeClr w14:val="tx1"/>
            </w14:solidFill>
          </w14:textFill>
        </w:rPr>
        <w:t>并</w:t>
      </w:r>
      <w:r>
        <w:rPr>
          <w:rFonts w:hint="eastAsia" w:ascii="微软雅黑" w:hAnsi="微软雅黑" w:eastAsia="微软雅黑" w:cs="微软雅黑"/>
          <w:color w:val="000000" w:themeColor="text1"/>
          <w:sz w:val="24"/>
          <w:szCs w:val="24"/>
          <w:lang w:eastAsia="zh-CN"/>
          <w14:textFill>
            <w14:solidFill>
              <w14:schemeClr w14:val="tx1"/>
            </w14:solidFill>
          </w14:textFill>
        </w:rPr>
        <w:t>且甲方收到乙方</w:t>
      </w:r>
      <w:r>
        <w:rPr>
          <w:rFonts w:hint="eastAsia" w:ascii="微软雅黑" w:hAnsi="微软雅黑" w:eastAsia="微软雅黑" w:cs="微软雅黑"/>
          <w:color w:val="000000" w:themeColor="text1"/>
          <w:sz w:val="24"/>
          <w:szCs w:val="24"/>
          <w14:textFill>
            <w14:solidFill>
              <w14:schemeClr w14:val="tx1"/>
            </w14:solidFill>
          </w14:textFill>
        </w:rPr>
        <w:t>开具</w:t>
      </w:r>
      <w:r>
        <w:rPr>
          <w:rFonts w:hint="eastAsia" w:ascii="微软雅黑" w:hAnsi="微软雅黑" w:eastAsia="微软雅黑" w:cs="微软雅黑"/>
          <w:color w:val="000000" w:themeColor="text1"/>
          <w:sz w:val="24"/>
          <w:szCs w:val="24"/>
          <w:lang w:eastAsia="zh-CN"/>
          <w14:textFill>
            <w14:solidFill>
              <w14:schemeClr w14:val="tx1"/>
            </w14:solidFill>
          </w14:textFill>
        </w:rPr>
        <w:t>的</w:t>
      </w:r>
      <w:r>
        <w:rPr>
          <w:rFonts w:hint="eastAsia" w:ascii="微软雅黑" w:hAnsi="微软雅黑" w:eastAsia="微软雅黑" w:cs="微软雅黑"/>
          <w:color w:val="000000" w:themeColor="text1"/>
          <w:sz w:val="24"/>
          <w:szCs w:val="24"/>
          <w14:textFill>
            <w14:solidFill>
              <w14:schemeClr w14:val="tx1"/>
            </w14:solidFill>
          </w14:textFill>
        </w:rPr>
        <w:t>正规发票后的</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天内，</w:t>
      </w:r>
      <w:r>
        <w:rPr>
          <w:rFonts w:hint="eastAsia" w:ascii="微软雅黑" w:hAnsi="微软雅黑" w:eastAsia="微软雅黑" w:cs="微软雅黑"/>
          <w:color w:val="000000" w:themeColor="text1"/>
          <w:sz w:val="24"/>
          <w:szCs w:val="24"/>
          <w:lang w:eastAsia="zh-CN"/>
          <w14:textFill>
            <w14:solidFill>
              <w14:schemeClr w14:val="tx1"/>
            </w14:solidFill>
          </w14:textFill>
        </w:rPr>
        <w:t>甲方</w:t>
      </w:r>
      <w:r>
        <w:rPr>
          <w:rFonts w:hint="eastAsia" w:ascii="微软雅黑" w:hAnsi="微软雅黑" w:eastAsia="微软雅黑" w:cs="微软雅黑"/>
          <w:color w:val="000000" w:themeColor="text1"/>
          <w:sz w:val="24"/>
          <w:szCs w:val="24"/>
          <w14:textFill>
            <w14:solidFill>
              <w14:schemeClr w14:val="tx1"/>
            </w14:solidFill>
          </w14:textFill>
        </w:rPr>
        <w:t>向乙方支付产生的所有费用。</w:t>
      </w:r>
    </w:p>
    <w:p w14:paraId="256995BE">
      <w:pPr>
        <w:keepNext w:val="0"/>
        <w:keepLines w:val="0"/>
        <w:pageBreakBefore w:val="0"/>
        <w:numPr>
          <w:ilvl w:val="0"/>
          <w:numId w:val="0"/>
        </w:numPr>
        <w:kinsoku/>
        <w:wordWrap/>
        <w:overflowPunct/>
        <w:topLinePunct w:val="0"/>
        <w:bidi w:val="0"/>
        <w:snapToGrid/>
        <w:spacing w:line="360" w:lineRule="auto"/>
        <w:ind w:leftChars="0" w:firstLine="480" w:firstLineChars="200"/>
        <w:jc w:val="both"/>
        <w:rPr>
          <w:rFonts w:hint="eastAsia" w:ascii="微软雅黑" w:hAnsi="微软雅黑" w:eastAsia="微软雅黑" w:cs="微软雅黑"/>
          <w:color w:val="000000" w:themeColor="text1"/>
          <w:sz w:val="24"/>
          <w:szCs w:val="24"/>
          <w14:textFill>
            <w14:solidFill>
              <w14:schemeClr w14:val="tx1"/>
            </w14:solidFill>
          </w14:textFill>
        </w:rPr>
      </w:pPr>
    </w:p>
    <w:p w14:paraId="561E7C12">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免责条款</w:t>
      </w:r>
    </w:p>
    <w:p w14:paraId="526745BA">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2DF721A9">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2．当出现双方在订立合同时无法预见的、不属于商业风险的重大变化，双方不能协商变更合同导致合同解除的，双方互不承担违约责任。</w:t>
      </w:r>
    </w:p>
    <w:p w14:paraId="37795CB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3．因治安管理案件或刑事犯罪案件，包括但不限于故意伤害、爆炸、偷盗、抢劫等导致人身伤害或财产损失的，由行为人承担责任</w:t>
      </w:r>
      <w:r>
        <w:rPr>
          <w:rFonts w:hint="eastAsia" w:ascii="微软雅黑" w:hAnsi="微软雅黑" w:eastAsia="微软雅黑" w:cs="微软雅黑"/>
          <w:color w:val="000000" w:themeColor="text1"/>
          <w:sz w:val="24"/>
          <w:szCs w:val="24"/>
          <w14:textFill>
            <w14:solidFill>
              <w14:schemeClr w14:val="tx1"/>
            </w14:solidFill>
          </w14:textFill>
        </w:rPr>
        <w:t>。</w:t>
      </w:r>
    </w:p>
    <w:p w14:paraId="0D9AA79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5CFC0D3C">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违约责任</w:t>
      </w:r>
    </w:p>
    <w:p w14:paraId="7AB754E0">
      <w:pPr>
        <w:keepNext w:val="0"/>
        <w:keepLines w:val="0"/>
        <w:pageBreakBefore w:val="0"/>
        <w:numPr>
          <w:ilvl w:val="0"/>
          <w:numId w:val="7"/>
        </w:numPr>
        <w:kinsoku/>
        <w:wordWrap/>
        <w:overflowPunct/>
        <w:topLinePunct w:val="0"/>
        <w:bidi w:val="0"/>
        <w:snapToGrid/>
        <w:spacing w:line="360" w:lineRule="auto"/>
        <w:ind w:left="0" w:leftChars="0"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合同有效期内，乙方未按约定上门进行清运、清运</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/转移</w:t>
      </w:r>
      <w:r>
        <w:rPr>
          <w:rFonts w:hint="eastAsia" w:ascii="微软雅黑" w:hAnsi="微软雅黑" w:eastAsia="微软雅黑" w:cs="微软雅黑"/>
          <w:color w:val="000000" w:themeColor="text1"/>
          <w:sz w:val="24"/>
          <w:szCs w:val="24"/>
          <w14:textFill>
            <w14:solidFill>
              <w14:schemeClr w14:val="tx1"/>
            </w14:solidFill>
          </w14:textFill>
        </w:rPr>
        <w:t>过程中发生安全事故</w:t>
      </w:r>
      <w:r>
        <w:rPr>
          <w:rFonts w:hint="eastAsia" w:ascii="微软雅黑" w:hAnsi="微软雅黑" w:eastAsia="微软雅黑" w:cs="微软雅黑"/>
          <w:color w:val="000000" w:themeColor="text1"/>
          <w:sz w:val="24"/>
          <w:szCs w:val="24"/>
          <w:lang w:eastAsia="zh-CN"/>
          <w14:textFill>
            <w14:solidFill>
              <w14:schemeClr w14:val="tx1"/>
            </w14:solidFill>
          </w14:textFill>
        </w:rPr>
        <w:t>的</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lang w:eastAsia="zh-CN"/>
          <w14:textFill>
            <w14:solidFill>
              <w14:schemeClr w14:val="tx1"/>
            </w14:solidFill>
          </w14:textFill>
        </w:rPr>
        <w:t>每发生一次应向甲方支付</w:t>
      </w:r>
      <w:r>
        <w:rPr>
          <w:rFonts w:hint="eastAsia" w:ascii="微软雅黑" w:hAnsi="微软雅黑" w:eastAsia="微软雅黑" w:cs="微软雅黑"/>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元违约金</w:t>
      </w:r>
      <w:r>
        <w:rPr>
          <w:rFonts w:hint="eastAsia" w:ascii="微软雅黑" w:hAnsi="微软雅黑" w:eastAsia="微软雅黑" w:cs="微软雅黑"/>
          <w:color w:val="000000" w:themeColor="text1"/>
          <w:sz w:val="24"/>
          <w:szCs w:val="24"/>
          <w14:textFill>
            <w14:solidFill>
              <w14:schemeClr w14:val="tx1"/>
            </w14:solidFill>
          </w14:textFill>
        </w:rPr>
        <w:t>。</w:t>
      </w:r>
    </w:p>
    <w:p w14:paraId="58BEA648">
      <w:pPr>
        <w:keepNext w:val="0"/>
        <w:keepLines w:val="0"/>
        <w:pageBreakBefore w:val="0"/>
        <w:numPr>
          <w:ilvl w:val="0"/>
          <w:numId w:val="7"/>
        </w:numPr>
        <w:kinsoku/>
        <w:wordWrap/>
        <w:overflowPunct/>
        <w:topLinePunct w:val="0"/>
        <w:bidi w:val="0"/>
        <w:snapToGrid/>
        <w:spacing w:line="360" w:lineRule="auto"/>
        <w:ind w:left="0" w:leftChars="0"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乙方对危险废物的运输、转移、回收、利用、处置必须符合国家及地方政府法律法规的规定，乙方违规处置的，应向甲方支付</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 xml:space="preserve">    万元违约金，并且</w:t>
      </w:r>
      <w:r>
        <w:rPr>
          <w:rFonts w:hint="eastAsia" w:ascii="微软雅黑" w:hAnsi="微软雅黑" w:eastAsia="微软雅黑" w:cs="微软雅黑"/>
          <w:color w:val="000000" w:themeColor="text1"/>
          <w:sz w:val="24"/>
          <w:szCs w:val="24"/>
          <w:lang w:eastAsia="zh-CN"/>
          <w14:textFill>
            <w14:solidFill>
              <w14:schemeClr w14:val="tx1"/>
            </w14:solidFill>
          </w14:textFill>
        </w:rPr>
        <w:t>给甲方造成的损失由乙方承担。</w:t>
      </w:r>
    </w:p>
    <w:p w14:paraId="50C0C744">
      <w:pPr>
        <w:keepNext w:val="0"/>
        <w:keepLines w:val="0"/>
        <w:pageBreakBefore w:val="0"/>
        <w:numPr>
          <w:ilvl w:val="0"/>
          <w:numId w:val="7"/>
        </w:numPr>
        <w:kinsoku/>
        <w:wordWrap/>
        <w:overflowPunct/>
        <w:topLinePunct w:val="0"/>
        <w:bidi w:val="0"/>
        <w:snapToGrid/>
        <w:spacing w:line="360" w:lineRule="auto"/>
        <w:ind w:left="0" w:leftChars="0"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合同有效期内，乙方累计</w:t>
      </w:r>
      <w:r>
        <w:rPr>
          <w:rFonts w:hint="eastAsia" w:ascii="微软雅黑" w:hAnsi="微软雅黑" w:eastAsia="微软雅黑" w:cs="微软雅黑"/>
          <w:color w:val="000000" w:themeColor="text1"/>
          <w:sz w:val="24"/>
          <w:szCs w:val="24"/>
          <w:u w:val="single"/>
          <w:lang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lang w:eastAsia="zh-CN"/>
          <w14:textFill>
            <w14:solidFill>
              <w14:schemeClr w14:val="tx1"/>
            </w14:solidFill>
          </w14:textFill>
        </w:rPr>
        <w:t>次未按约定上门进行清运、清运过程中发生安全事故或者乙方资质被吊销或其他原因导致乙方不再具备履行本合同的能力时，甲方有权向乙方发出书面通知后解除本合同，</w:t>
      </w:r>
      <w:r>
        <w:rPr>
          <w:rFonts w:hint="eastAsia" w:ascii="微软雅黑" w:hAnsi="微软雅黑" w:eastAsia="微软雅黑" w:cs="微软雅黑"/>
          <w:color w:val="000000" w:themeColor="text1"/>
          <w:sz w:val="24"/>
          <w:szCs w:val="24"/>
          <w:lang w:val="en-US" w:eastAsia="zh-Hans"/>
          <w14:textFill>
            <w14:solidFill>
              <w14:schemeClr w14:val="tx1"/>
            </w14:solidFill>
          </w14:textFill>
        </w:rPr>
        <w:t>自甲方的书面通知到达乙方之日合同解除，乙方对合同解除有异议的，可以向</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蚌埠仲裁委</w:t>
      </w:r>
      <w:r>
        <w:rPr>
          <w:rFonts w:hint="eastAsia" w:ascii="微软雅黑" w:hAnsi="微软雅黑" w:eastAsia="微软雅黑" w:cs="微软雅黑"/>
          <w:color w:val="000000" w:themeColor="text1"/>
          <w:sz w:val="24"/>
          <w:szCs w:val="24"/>
          <w:lang w:val="en-US" w:eastAsia="zh-Hans"/>
          <w14:textFill>
            <w14:solidFill>
              <w14:schemeClr w14:val="tx1"/>
            </w14:solidFill>
          </w14:textFill>
        </w:rPr>
        <w:t>确认解除的效力</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25EAC0C2">
      <w:pPr>
        <w:keepNext w:val="0"/>
        <w:keepLines w:val="0"/>
        <w:pageBreakBefore w:val="0"/>
        <w:numPr>
          <w:ilvl w:val="0"/>
          <w:numId w:val="7"/>
        </w:numPr>
        <w:kinsoku/>
        <w:wordWrap/>
        <w:overflowPunct/>
        <w:topLinePunct w:val="0"/>
        <w:bidi w:val="0"/>
        <w:snapToGrid/>
        <w:spacing w:line="360" w:lineRule="auto"/>
        <w:ind w:left="0" w:leftChars="0" w:firstLine="480" w:firstLineChars="200"/>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合同签订后，乙方要求提前解除本合同的，应向甲方支付</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 xml:space="preserve">    元违约金，并赔偿由此给甲方造成的损失。</w:t>
      </w:r>
    </w:p>
    <w:p w14:paraId="489DB21B">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乙方依约履行义务后，</w:t>
      </w:r>
      <w:r>
        <w:rPr>
          <w:rFonts w:hint="eastAsia" w:ascii="微软雅黑" w:hAnsi="微软雅黑" w:eastAsia="微软雅黑" w:cs="微软雅黑"/>
          <w:color w:val="000000" w:themeColor="text1"/>
          <w:sz w:val="24"/>
          <w:szCs w:val="24"/>
          <w14:textFill>
            <w14:solidFill>
              <w14:schemeClr w14:val="tx1"/>
            </w14:solidFill>
          </w14:textFill>
        </w:rPr>
        <w:t>甲方未按本合同约定向乙方支付费用的，每逾期一天应向乙方支付应付未付金额万分之五的违约金。</w:t>
      </w:r>
    </w:p>
    <w:p w14:paraId="17B32DB4">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任何一方违约给对方造成损失的，均应向对方承担赔偿责任，包括但不限于实际损失、预期利益损失、甲方向第三人支付的违约金、赔偿金及甲方为索赔而支出的律师费、诉讼费、保全担保费、保全费、执行费等全部费用。</w:t>
      </w:r>
    </w:p>
    <w:p w14:paraId="1E7FCFA1">
      <w:pPr>
        <w:keepNext w:val="0"/>
        <w:keepLines w:val="0"/>
        <w:pageBreakBefore w:val="0"/>
        <w:kinsoku/>
        <w:wordWrap/>
        <w:overflowPunct/>
        <w:topLinePunct w:val="0"/>
        <w:bidi w:val="0"/>
        <w:snapToGrid/>
        <w:spacing w:line="360" w:lineRule="auto"/>
        <w:ind w:left="0"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p>
    <w:p w14:paraId="7A71D3DC">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其他</w:t>
      </w:r>
      <w:r>
        <w:rPr>
          <w:rFonts w:hint="eastAsia" w:ascii="微软雅黑" w:hAnsi="微软雅黑" w:eastAsia="微软雅黑" w:cs="微软雅黑"/>
          <w:b/>
          <w:color w:val="000000" w:themeColor="text1"/>
          <w:sz w:val="24"/>
          <w:szCs w:val="24"/>
          <w:lang w:eastAsia="zh-CN"/>
          <w14:textFill>
            <w14:solidFill>
              <w14:schemeClr w14:val="tx1"/>
            </w14:solidFill>
          </w14:textFill>
        </w:rPr>
        <w:t>约定</w:t>
      </w:r>
    </w:p>
    <w:p w14:paraId="1138210A">
      <w:pPr>
        <w:keepNext w:val="0"/>
        <w:keepLines w:val="0"/>
        <w:pageBreakBefore w:val="0"/>
        <w:numPr>
          <w:ilvl w:val="0"/>
          <w:numId w:val="8"/>
        </w:numPr>
        <w:kinsoku/>
        <w:wordWrap/>
        <w:overflowPunct/>
        <w:topLinePunct w:val="0"/>
        <w:bidi w:val="0"/>
        <w:snapToGrid/>
        <w:spacing w:line="360" w:lineRule="auto"/>
        <w:ind w:left="0" w:leftChars="0"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在协议执行中如有未尽事宜，应由双方共同协商</w:t>
      </w:r>
      <w:r>
        <w:rPr>
          <w:rFonts w:hint="eastAsia" w:ascii="微软雅黑" w:hAnsi="微软雅黑" w:eastAsia="微软雅黑" w:cs="微软雅黑"/>
          <w:color w:val="000000" w:themeColor="text1"/>
          <w:sz w:val="24"/>
          <w:szCs w:val="24"/>
          <w:lang w:eastAsia="zh-CN"/>
          <w14:textFill>
            <w14:solidFill>
              <w14:schemeClr w14:val="tx1"/>
            </w14:solidFill>
          </w14:textFill>
        </w:rPr>
        <w:t>一致后签订补充协议</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lang w:eastAsia="zh-CN"/>
          <w14:textFill>
            <w14:solidFill>
              <w14:schemeClr w14:val="tx1"/>
            </w14:solidFill>
          </w14:textFill>
        </w:rPr>
        <w:t>补充协议</w:t>
      </w:r>
      <w:r>
        <w:rPr>
          <w:rFonts w:hint="eastAsia" w:ascii="微软雅黑" w:hAnsi="微软雅黑" w:eastAsia="微软雅黑" w:cs="微软雅黑"/>
          <w:color w:val="000000" w:themeColor="text1"/>
          <w:sz w:val="24"/>
          <w:szCs w:val="24"/>
          <w14:textFill>
            <w14:solidFill>
              <w14:schemeClr w14:val="tx1"/>
            </w14:solidFill>
          </w14:textFill>
        </w:rPr>
        <w:t>与</w:t>
      </w:r>
      <w:r>
        <w:rPr>
          <w:rFonts w:hint="eastAsia" w:ascii="微软雅黑" w:hAnsi="微软雅黑" w:eastAsia="微软雅黑" w:cs="微软雅黑"/>
          <w:color w:val="000000" w:themeColor="text1"/>
          <w:sz w:val="24"/>
          <w:szCs w:val="24"/>
          <w:lang w:eastAsia="zh-CN"/>
          <w14:textFill>
            <w14:solidFill>
              <w14:schemeClr w14:val="tx1"/>
            </w14:solidFill>
          </w14:textFill>
        </w:rPr>
        <w:t>本合同</w:t>
      </w:r>
      <w:r>
        <w:rPr>
          <w:rFonts w:hint="eastAsia" w:ascii="微软雅黑" w:hAnsi="微软雅黑" w:eastAsia="微软雅黑" w:cs="微软雅黑"/>
          <w:color w:val="000000" w:themeColor="text1"/>
          <w:sz w:val="24"/>
          <w:szCs w:val="24"/>
          <w14:textFill>
            <w14:solidFill>
              <w14:schemeClr w14:val="tx1"/>
            </w14:solidFill>
          </w14:textFill>
        </w:rPr>
        <w:t>具有同等法律效力。</w:t>
      </w:r>
    </w:p>
    <w:p w14:paraId="2731A28C">
      <w:pPr>
        <w:keepNext w:val="0"/>
        <w:keepLines w:val="0"/>
        <w:pageBreakBefore w:val="0"/>
        <w:numPr>
          <w:ilvl w:val="0"/>
          <w:numId w:val="8"/>
        </w:numPr>
        <w:kinsoku/>
        <w:wordWrap/>
        <w:overflowPunct/>
        <w:topLinePunct w:val="0"/>
        <w:bidi w:val="0"/>
        <w:snapToGrid/>
        <w:spacing w:line="360" w:lineRule="auto"/>
        <w:ind w:left="0" w:leftChars="0"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凡因本合同引起的或与本合同有关的任何争议，均提交蚌埠仲裁委员会，按照该会的仲裁规则进行仲裁。仲裁裁决是终局的，对双方均有约束力。</w:t>
      </w:r>
    </w:p>
    <w:p w14:paraId="71A4FCBB">
      <w:pPr>
        <w:keepNext w:val="0"/>
        <w:keepLines w:val="0"/>
        <w:pageBreakBefore w:val="0"/>
        <w:numPr>
          <w:ilvl w:val="0"/>
          <w:numId w:val="8"/>
        </w:numPr>
        <w:kinsoku/>
        <w:wordWrap/>
        <w:overflowPunct/>
        <w:topLinePunct w:val="0"/>
        <w:bidi w:val="0"/>
        <w:snapToGrid/>
        <w:spacing w:line="360" w:lineRule="auto"/>
        <w:ind w:left="0" w:leftChars="0"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本合同</w:t>
      </w:r>
      <w:r>
        <w:rPr>
          <w:rFonts w:hint="eastAsia" w:ascii="微软雅黑" w:hAnsi="微软雅黑" w:eastAsia="微软雅黑" w:cs="微软雅黑"/>
          <w:color w:val="000000" w:themeColor="text1"/>
          <w:sz w:val="24"/>
          <w:szCs w:val="24"/>
          <w14:textFill>
            <w14:solidFill>
              <w14:schemeClr w14:val="tx1"/>
            </w14:solidFill>
          </w14:textFill>
        </w:rPr>
        <w:t>经双方</w:t>
      </w:r>
      <w:r>
        <w:rPr>
          <w:rFonts w:hint="eastAsia" w:ascii="微软雅黑" w:hAnsi="微软雅黑" w:eastAsia="微软雅黑" w:cs="微软雅黑"/>
          <w:color w:val="000000" w:themeColor="text1"/>
          <w:sz w:val="24"/>
          <w:szCs w:val="24"/>
          <w:lang w:eastAsia="zh-CN"/>
          <w14:textFill>
            <w14:solidFill>
              <w14:schemeClr w14:val="tx1"/>
            </w14:solidFill>
          </w14:textFill>
        </w:rPr>
        <w:t>法定代表人或授权代表</w:t>
      </w:r>
      <w:r>
        <w:rPr>
          <w:rFonts w:hint="eastAsia" w:ascii="微软雅黑" w:hAnsi="微软雅黑" w:eastAsia="微软雅黑" w:cs="微软雅黑"/>
          <w:color w:val="000000" w:themeColor="text1"/>
          <w:sz w:val="24"/>
          <w:szCs w:val="24"/>
          <w14:textFill>
            <w14:solidFill>
              <w14:schemeClr w14:val="tx1"/>
            </w14:solidFill>
          </w14:textFill>
        </w:rPr>
        <w:t>签字</w:t>
      </w:r>
      <w:r>
        <w:rPr>
          <w:rFonts w:hint="eastAsia" w:ascii="微软雅黑" w:hAnsi="微软雅黑" w:eastAsia="微软雅黑" w:cs="微软雅黑"/>
          <w:color w:val="000000" w:themeColor="text1"/>
          <w:sz w:val="24"/>
          <w:szCs w:val="24"/>
          <w:lang w:eastAsia="zh-CN"/>
          <w14:textFill>
            <w14:solidFill>
              <w14:schemeClr w14:val="tx1"/>
            </w14:solidFill>
          </w14:textFill>
        </w:rPr>
        <w:t>并加</w:t>
      </w:r>
      <w:r>
        <w:rPr>
          <w:rFonts w:hint="eastAsia" w:ascii="微软雅黑" w:hAnsi="微软雅黑" w:eastAsia="微软雅黑" w:cs="微软雅黑"/>
          <w:color w:val="000000" w:themeColor="text1"/>
          <w:sz w:val="24"/>
          <w:szCs w:val="24"/>
          <w14:textFill>
            <w14:solidFill>
              <w14:schemeClr w14:val="tx1"/>
            </w14:solidFill>
          </w14:textFill>
        </w:rPr>
        <w:t>盖</w:t>
      </w:r>
      <w:r>
        <w:rPr>
          <w:rFonts w:hint="eastAsia" w:ascii="微软雅黑" w:hAnsi="微软雅黑" w:eastAsia="微软雅黑" w:cs="微软雅黑"/>
          <w:color w:val="000000" w:themeColor="text1"/>
          <w:sz w:val="24"/>
          <w:szCs w:val="24"/>
          <w:lang w:eastAsia="zh-CN"/>
          <w14:textFill>
            <w14:solidFill>
              <w14:schemeClr w14:val="tx1"/>
            </w14:solidFill>
          </w14:textFill>
        </w:rPr>
        <w:t>公</w:t>
      </w:r>
      <w:r>
        <w:rPr>
          <w:rFonts w:hint="eastAsia" w:ascii="微软雅黑" w:hAnsi="微软雅黑" w:eastAsia="微软雅黑" w:cs="微软雅黑"/>
          <w:color w:val="000000" w:themeColor="text1"/>
          <w:sz w:val="24"/>
          <w:szCs w:val="24"/>
          <w14:textFill>
            <w14:solidFill>
              <w14:schemeClr w14:val="tx1"/>
            </w14:solidFill>
          </w14:textFill>
        </w:rPr>
        <w:t>章后生效。</w:t>
      </w:r>
      <w:r>
        <w:rPr>
          <w:rFonts w:hint="eastAsia" w:ascii="微软雅黑" w:hAnsi="微软雅黑" w:eastAsia="微软雅黑" w:cs="微软雅黑"/>
          <w:color w:val="000000" w:themeColor="text1"/>
          <w:sz w:val="24"/>
          <w:szCs w:val="24"/>
          <w:lang w:eastAsia="zh-CN"/>
          <w14:textFill>
            <w14:solidFill>
              <w14:schemeClr w14:val="tx1"/>
            </w14:solidFill>
          </w14:textFill>
        </w:rPr>
        <w:t>合同</w:t>
      </w:r>
      <w:r>
        <w:rPr>
          <w:rFonts w:hint="eastAsia" w:ascii="微软雅黑" w:hAnsi="微软雅黑" w:eastAsia="微软雅黑" w:cs="微软雅黑"/>
          <w:color w:val="000000" w:themeColor="text1"/>
          <w:sz w:val="24"/>
          <w:szCs w:val="24"/>
          <w14:textFill>
            <w14:solidFill>
              <w14:schemeClr w14:val="tx1"/>
            </w14:solidFill>
          </w14:textFill>
        </w:rPr>
        <w:t>一式</w:t>
      </w:r>
      <w:r>
        <w:rPr>
          <w:rFonts w:hint="eastAsia" w:ascii="微软雅黑" w:hAnsi="微软雅黑" w:eastAsia="微软雅黑" w:cs="微软雅黑"/>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份，甲方</w:t>
      </w:r>
      <w:r>
        <w:rPr>
          <w:rFonts w:hint="eastAsia" w:ascii="微软雅黑" w:hAnsi="微软雅黑" w:eastAsia="微软雅黑" w:cs="微软雅黑"/>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份，乙方</w:t>
      </w:r>
      <w:r>
        <w:rPr>
          <w:rFonts w:hint="eastAsia" w:ascii="微软雅黑" w:hAnsi="微软雅黑" w:eastAsia="微软雅黑" w:cs="微软雅黑"/>
          <w:color w:val="000000" w:themeColor="text1"/>
          <w:sz w:val="24"/>
          <w:szCs w:val="24"/>
          <w:u w:val="single"/>
          <w:lang w:val="en-US" w:eastAsia="zh-CN"/>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份。</w:t>
      </w:r>
    </w:p>
    <w:p w14:paraId="03980C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4.送达地址以及送达条款</w:t>
      </w:r>
    </w:p>
    <w:p w14:paraId="160A3B3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（1）送达地址以及方式</w:t>
      </w:r>
    </w:p>
    <w:p w14:paraId="638774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w:t>
      </w:r>
    </w:p>
    <w:p w14:paraId="51EA53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甲方确认送达地址如下：</w:t>
      </w:r>
    </w:p>
    <w:p w14:paraId="6267935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7BFB3F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511F4FE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52F6F3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1C3F85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甲方电子送达方式如下：</w:t>
      </w:r>
    </w:p>
    <w:p w14:paraId="0A927F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2B6DA7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1626E8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2DC4C3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            。</w:t>
      </w:r>
    </w:p>
    <w:p w14:paraId="1BC99E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p>
    <w:p w14:paraId="0944E9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乙方确认送达地址如下：</w:t>
      </w:r>
    </w:p>
    <w:p w14:paraId="6A4729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727441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4756CD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0DFA65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0DF3BDF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乙方电子送达方式如下：</w:t>
      </w:r>
    </w:p>
    <w:p w14:paraId="2694D2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6B55EA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680480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7BC00B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w:t>
      </w:r>
    </w:p>
    <w:p w14:paraId="7BC586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送达方式</w:t>
      </w:r>
    </w:p>
    <w:p w14:paraId="12853D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双方同意，本合同项下的通知、函件、诉讼文书等文件，以下列方式送达对方：</w:t>
      </w:r>
    </w:p>
    <w:p w14:paraId="50EB3C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直接送达：将文件送至对方指定的送达地址，视为已送达；</w:t>
      </w:r>
    </w:p>
    <w:p w14:paraId="17DB9B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邮寄送达：将文件通过挂号信、特快专递等方式寄至对方指定的送达地址，以邮戳日期为准，视为已送达；</w:t>
      </w:r>
    </w:p>
    <w:p w14:paraId="5D71A4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电子送达：将文件通过电子邮件、短信、微信等方式发送至对方指定的电子邮箱、手机号码等，发送成功即视为已送达。</w:t>
      </w:r>
    </w:p>
    <w:p w14:paraId="5C0440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（2）送达条款</w:t>
      </w:r>
    </w:p>
    <w:p w14:paraId="29E8B4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本送达条款适用于合同履行期间及合同纠纷解决过程中的所有文件送达。</w:t>
      </w:r>
    </w:p>
    <w:p w14:paraId="3DDC3B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2320D0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双方在合同履行过程中由双方共同明示或默示确认的合同约定外的送达地址和联系方式不影响送达效力。</w:t>
      </w:r>
    </w:p>
    <w:p w14:paraId="27766B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05188A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双方应当保证本合同约定送达地址以及联系方式为有效地址及联系方式。一方变更送达信息的，应在变更后一日内通知对方，未及时通知的，发送方按照原约定方式送达，视为送达成功。</w:t>
      </w:r>
    </w:p>
    <w:p w14:paraId="0CA887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双方发生争议，关于裁判机构的送达文书，接收方存在以下行为之一的，蚌埠仲裁委员会有权依据法律和适时有效的仲裁规则规定进行送达，法律与仲裁规则规定程序完成之日，视为送达成功：</w:t>
      </w:r>
    </w:p>
    <w:p w14:paraId="7B3309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擅自变更送达地址及信息且未及时通知对方的；</w:t>
      </w:r>
    </w:p>
    <w:p w14:paraId="29A2B0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送达地址与信息同工商登记信息不一致且未及时更改的；</w:t>
      </w:r>
    </w:p>
    <w:p w14:paraId="082F2C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故意不接收蚌埠仲裁委员会送达文书的；</w:t>
      </w:r>
    </w:p>
    <w:p w14:paraId="4875C0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因接收方过错造成无法正常送达的其他行为。</w:t>
      </w:r>
    </w:p>
    <w:p w14:paraId="1A818E0C">
      <w:pPr>
        <w:keepNext w:val="0"/>
        <w:keepLines w:val="0"/>
        <w:pageBreakBefore w:val="0"/>
        <w:kinsoku/>
        <w:wordWrap/>
        <w:overflowPunct/>
        <w:topLinePunct w:val="0"/>
        <w:bidi w:val="0"/>
        <w:snapToGrid/>
        <w:spacing w:line="360" w:lineRule="auto"/>
        <w:ind w:left="0"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151C6702">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hint="eastAsia" w:ascii="微软雅黑" w:hAnsi="微软雅黑" w:eastAsia="微软雅黑" w:cs="微软雅黑"/>
          <w:b/>
          <w:color w:val="000000" w:themeColor="text1"/>
          <w:sz w:val="24"/>
          <w:szCs w:val="24"/>
          <w14:textFill>
            <w14:solidFill>
              <w14:schemeClr w14:val="tx1"/>
            </w14:solidFill>
          </w14:textFill>
        </w:rPr>
      </w:pPr>
      <w:r>
        <w:rPr>
          <w:rFonts w:hint="eastAsia" w:ascii="微软雅黑" w:hAnsi="微软雅黑" w:eastAsia="微软雅黑" w:cs="微软雅黑"/>
          <w:b/>
          <w:color w:val="000000" w:themeColor="text1"/>
          <w:sz w:val="24"/>
          <w:szCs w:val="24"/>
          <w14:textFill>
            <w14:solidFill>
              <w14:schemeClr w14:val="tx1"/>
            </w14:solidFill>
          </w14:textFill>
        </w:rPr>
        <w:t>特别约定</w:t>
      </w:r>
    </w:p>
    <w:p w14:paraId="52C021BD">
      <w:pPr>
        <w:keepNext w:val="0"/>
        <w:keepLines w:val="0"/>
        <w:pageBreakBefore w:val="0"/>
        <w:widowControl w:val="0"/>
        <w:numPr>
          <w:ilvl w:val="0"/>
          <w:numId w:val="9"/>
        </w:numPr>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 xml:space="preserve"> </w:t>
      </w:r>
    </w:p>
    <w:p w14:paraId="6968F6EF">
      <w:pPr>
        <w:keepNext w:val="0"/>
        <w:keepLines w:val="0"/>
        <w:pageBreakBefore w:val="0"/>
        <w:widowControl w:val="0"/>
        <w:numPr>
          <w:ilvl w:val="0"/>
          <w:numId w:val="9"/>
        </w:numPr>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 xml:space="preserve"> </w:t>
      </w:r>
    </w:p>
    <w:p w14:paraId="5F60158B">
      <w:pPr>
        <w:keepNext w:val="0"/>
        <w:keepLines w:val="0"/>
        <w:pageBreakBefore w:val="0"/>
        <w:widowControl w:val="0"/>
        <w:numPr>
          <w:ilvl w:val="0"/>
          <w:numId w:val="9"/>
        </w:numPr>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 xml:space="preserve"> </w:t>
      </w:r>
    </w:p>
    <w:p w14:paraId="5A7F025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（以下无正文）</w:t>
      </w:r>
    </w:p>
    <w:p w14:paraId="04CC12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22F955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甲方（盖章）：</w:t>
      </w:r>
    </w:p>
    <w:p w14:paraId="6F2E31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19C997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672500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2D2604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4F48247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乙方（盖章）：</w:t>
      </w:r>
    </w:p>
    <w:p w14:paraId="43C532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457D2E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法定代表人（签字）： </w:t>
      </w:r>
    </w:p>
    <w:p w14:paraId="31DEDB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委托代理人（签字）：  </w:t>
      </w:r>
    </w:p>
    <w:p w14:paraId="0BFF3A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p>
    <w:p w14:paraId="5C53B9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合同签订日期：    年  月  日</w:t>
      </w:r>
    </w:p>
    <w:p w14:paraId="139E4C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合同签订地点：</w:t>
      </w:r>
    </w:p>
    <w:bookmarkEnd w:id="0"/>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4A36F7">
    <w:pPr>
      <w:pStyle w:val="2"/>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4378674">
                          <w:pPr>
                            <w:pStyle w:val="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17</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23</w:t>
                          </w:r>
                          <w:r>
                            <w:rPr>
                              <w:rFonts w:hint="eastAsia"/>
                              <w:lang w:eastAsia="zh-CN"/>
                            </w:rPr>
                            <w:fldChar w:fldCharType="end"/>
                          </w:r>
                          <w:r>
                            <w:rPr>
                              <w:rFonts w:hint="eastAsia"/>
                              <w:lang w:eastAsia="zh-CN"/>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04378674">
                    <w:pPr>
                      <w:pStyle w:val="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17</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23</w:t>
                    </w:r>
                    <w:r>
                      <w:rPr>
                        <w:rFonts w:hint="eastAsia"/>
                        <w:lang w:eastAsia="zh-CN"/>
                      </w:rPr>
                      <w:fldChar w:fldCharType="end"/>
                    </w:r>
                    <w:r>
                      <w:rPr>
                        <w:rFonts w:hint="eastAsia"/>
                        <w:lang w:eastAsia="zh-CN"/>
                      </w:rPr>
                      <w:t xml:space="preserve"> 页</w:t>
                    </w:r>
                  </w:p>
                </w:txbxContent>
              </v:textbox>
            </v:shape>
          </w:pict>
        </mc:Fallback>
      </mc:AlternateContent>
    </w:r>
  </w:p>
  <w:p w14:paraId="33FF9F6F"/>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2FE9B">
    <w:pPr>
      <w:pStyle w:val="3"/>
      <w:pBdr>
        <w:bottom w:val="none" w:color="auto" w:sz="0" w:space="9"/>
      </w:pBdr>
      <w:ind w:firstLine="180" w:firstLineChars="10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9169D3"/>
    <w:multiLevelType w:val="singleLevel"/>
    <w:tmpl w:val="EE9169D3"/>
    <w:lvl w:ilvl="0" w:tentative="0">
      <w:start w:val="1"/>
      <w:numFmt w:val="decimal"/>
      <w:suff w:val="nothing"/>
      <w:lvlText w:val="%1．"/>
      <w:lvlJc w:val="left"/>
      <w:pPr>
        <w:ind w:left="0" w:firstLine="400"/>
      </w:pPr>
      <w:rPr>
        <w:rFonts w:hint="default"/>
      </w:rPr>
    </w:lvl>
  </w:abstractNum>
  <w:abstractNum w:abstractNumId="1">
    <w:nsid w:val="F6CC6B3F"/>
    <w:multiLevelType w:val="singleLevel"/>
    <w:tmpl w:val="F6CC6B3F"/>
    <w:lvl w:ilvl="0" w:tentative="0">
      <w:start w:val="1"/>
      <w:numFmt w:val="decimal"/>
      <w:suff w:val="nothing"/>
      <w:lvlText w:val="%1．"/>
      <w:lvlJc w:val="left"/>
      <w:pPr>
        <w:ind w:left="0" w:firstLine="400"/>
      </w:pPr>
      <w:rPr>
        <w:rFonts w:hint="default"/>
      </w:rPr>
    </w:lvl>
  </w:abstractNum>
  <w:abstractNum w:abstractNumId="2">
    <w:nsid w:val="08ADB92F"/>
    <w:multiLevelType w:val="singleLevel"/>
    <w:tmpl w:val="08ADB92F"/>
    <w:lvl w:ilvl="0" w:tentative="0">
      <w:start w:val="1"/>
      <w:numFmt w:val="decimal"/>
      <w:suff w:val="nothing"/>
      <w:lvlText w:val="%1．"/>
      <w:lvlJc w:val="left"/>
      <w:pPr>
        <w:ind w:left="0" w:firstLine="400"/>
      </w:pPr>
      <w:rPr>
        <w:rFonts w:hint="default"/>
      </w:rPr>
    </w:lvl>
  </w:abstractNum>
  <w:abstractNum w:abstractNumId="3">
    <w:nsid w:val="19B8DB83"/>
    <w:multiLevelType w:val="singleLevel"/>
    <w:tmpl w:val="19B8DB83"/>
    <w:lvl w:ilvl="0" w:tentative="0">
      <w:start w:val="1"/>
      <w:numFmt w:val="decimal"/>
      <w:suff w:val="nothing"/>
      <w:lvlText w:val="%1．"/>
      <w:lvlJc w:val="left"/>
      <w:pPr>
        <w:ind w:left="0" w:firstLine="400"/>
      </w:pPr>
      <w:rPr>
        <w:rFonts w:hint="default"/>
      </w:rPr>
    </w:lvl>
  </w:abstractNum>
  <w:abstractNum w:abstractNumId="4">
    <w:nsid w:val="21425503"/>
    <w:multiLevelType w:val="singleLevel"/>
    <w:tmpl w:val="21425503"/>
    <w:lvl w:ilvl="0" w:tentative="0">
      <w:start w:val="1"/>
      <w:numFmt w:val="chineseCounting"/>
      <w:suff w:val="nothing"/>
      <w:lvlText w:val="%1、"/>
      <w:lvlJc w:val="left"/>
      <w:pPr>
        <w:ind w:left="0" w:firstLine="420"/>
      </w:pPr>
      <w:rPr>
        <w:rFonts w:hint="eastAsia"/>
      </w:rPr>
    </w:lvl>
  </w:abstractNum>
  <w:abstractNum w:abstractNumId="5">
    <w:nsid w:val="3D789406"/>
    <w:multiLevelType w:val="singleLevel"/>
    <w:tmpl w:val="3D789406"/>
    <w:lvl w:ilvl="0" w:tentative="0">
      <w:start w:val="1"/>
      <w:numFmt w:val="decimal"/>
      <w:suff w:val="nothing"/>
      <w:lvlText w:val="%1．"/>
      <w:lvlJc w:val="left"/>
      <w:pPr>
        <w:ind w:left="0" w:firstLine="400"/>
      </w:pPr>
      <w:rPr>
        <w:rFonts w:hint="default"/>
      </w:rPr>
    </w:lvl>
  </w:abstractNum>
  <w:abstractNum w:abstractNumId="6">
    <w:nsid w:val="440E04D6"/>
    <w:multiLevelType w:val="singleLevel"/>
    <w:tmpl w:val="440E04D6"/>
    <w:lvl w:ilvl="0" w:tentative="0">
      <w:start w:val="1"/>
      <w:numFmt w:val="decimal"/>
      <w:suff w:val="nothing"/>
      <w:lvlText w:val="%1．"/>
      <w:lvlJc w:val="left"/>
      <w:pPr>
        <w:ind w:left="0" w:firstLine="400"/>
      </w:pPr>
      <w:rPr>
        <w:rFonts w:hint="default"/>
      </w:rPr>
    </w:lvl>
  </w:abstractNum>
  <w:abstractNum w:abstractNumId="7">
    <w:nsid w:val="663ADD2E"/>
    <w:multiLevelType w:val="singleLevel"/>
    <w:tmpl w:val="663ADD2E"/>
    <w:lvl w:ilvl="0" w:tentative="0">
      <w:start w:val="1"/>
      <w:numFmt w:val="decimal"/>
      <w:suff w:val="space"/>
      <w:lvlText w:val="%1."/>
      <w:lvlJc w:val="left"/>
    </w:lvl>
  </w:abstractNum>
  <w:abstractNum w:abstractNumId="8">
    <w:nsid w:val="704EA8C2"/>
    <w:multiLevelType w:val="singleLevel"/>
    <w:tmpl w:val="704EA8C2"/>
    <w:lvl w:ilvl="0" w:tentative="0">
      <w:start w:val="1"/>
      <w:numFmt w:val="decimal"/>
      <w:suff w:val="nothing"/>
      <w:lvlText w:val="%1．"/>
      <w:lvlJc w:val="left"/>
      <w:pPr>
        <w:ind w:left="0" w:firstLine="400"/>
      </w:pPr>
      <w:rPr>
        <w:rFonts w:hint="default"/>
      </w:rPr>
    </w:lvl>
  </w:abstractNum>
  <w:num w:numId="1">
    <w:abstractNumId w:val="4"/>
  </w:num>
  <w:num w:numId="2">
    <w:abstractNumId w:val="5"/>
  </w:num>
  <w:num w:numId="3">
    <w:abstractNumId w:val="6"/>
  </w:num>
  <w:num w:numId="4">
    <w:abstractNumId w:val="0"/>
  </w:num>
  <w:num w:numId="5">
    <w:abstractNumId w:val="1"/>
  </w:num>
  <w:num w:numId="6">
    <w:abstractNumId w:val="2"/>
  </w:num>
  <w:num w:numId="7">
    <w:abstractNumId w:val="8"/>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141A86"/>
    <w:rsid w:val="08D64DF0"/>
    <w:rsid w:val="292111BF"/>
    <w:rsid w:val="3C746CD0"/>
    <w:rsid w:val="54141A86"/>
    <w:rsid w:val="5D2E53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4054</Words>
  <Characters>4068</Characters>
  <Lines>0</Lines>
  <Paragraphs>0</Paragraphs>
  <TotalTime>1</TotalTime>
  <ScaleCrop>false</ScaleCrop>
  <LinksUpToDate>false</LinksUpToDate>
  <CharactersWithSpaces>4421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2021-06-02T01:56:00Z</dcterms:created>
  <dc:creator>真宇律师</dc:creator>
  <cp:lastModifiedBy>豪</cp:lastModifiedBy>
  <dcterms:modified xsi:type="dcterms:W3CDTF">2026-03-22T07:54:44Z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45F5377CEC7E438788B5065E190EFBF3</vt:lpwstr>
  </property>
  <property fmtid="{D5CDD505-2E9C-101B-9397-08002B2CF9AE}" pid="4" name="KSOTemplateDocerSaveRecord">
    <vt:lpwstr>eyJoZGlkIjoiNTg0MzMyNGJiMDEzODc5ODNlMGVjODViOWRkZjg1MDgiLCJ1c2VySWQiOiIxMjc2Mzc3NjgxIn0=</vt:lpwstr>
  </property>
</Properties>
</file>