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7622693">
      <w:pPr>
        <w:pStyle w:val="2"/>
        <w:spacing w:afterLines="0" w:line="360" w:lineRule="auto"/>
        <w:ind w:right="0" w:firstLine="480" w:firstLineChars="200"/>
        <w:jc w:val="center"/>
        <w:outlineLvl w:val="0"/>
        <w:rPr>
          <w:rFonts w:ascii="楷体" w:hAnsi="楷体" w:eastAsia="楷体"/>
          <w:color w:val="000000" w:themeColor="text1"/>
          <w:sz w:val="24"/>
          <w:szCs w:val="24"/>
          <w14:textFill>
            <w14:solidFill>
              <w14:schemeClr w14:val="tx1"/>
            </w14:solidFill>
          </w14:textFill>
        </w:rPr>
      </w:pPr>
    </w:p>
    <w:p w14:paraId="58671093">
      <w:pPr>
        <w:spacing w:afterLines="0" w:line="360" w:lineRule="auto"/>
        <w:jc w:val="center"/>
        <w:rPr>
          <w:rFonts w:hint="eastAsia" w:ascii="微软雅黑" w:hAnsi="微软雅黑" w:eastAsia="微软雅黑" w:cs="微软雅黑"/>
          <w:b/>
          <w:bCs/>
          <w:color w:val="000000" w:themeColor="text1"/>
          <w:sz w:val="24"/>
          <w:szCs w:val="24"/>
          <w14:textFill>
            <w14:solidFill>
              <w14:schemeClr w14:val="tx1"/>
            </w14:solidFill>
          </w14:textFill>
        </w:rPr>
      </w:pPr>
      <w:bookmarkStart w:id="0" w:name="_GoBack"/>
      <w:r>
        <w:rPr>
          <w:rFonts w:hint="eastAsia" w:ascii="微软雅黑" w:hAnsi="微软雅黑" w:eastAsia="微软雅黑" w:cs="微软雅黑"/>
          <w:b/>
          <w:bCs/>
          <w:color w:val="000000" w:themeColor="text1"/>
          <w:spacing w:val="57"/>
          <w:sz w:val="24"/>
          <w:szCs w:val="24"/>
          <w14:textFill>
            <w14:solidFill>
              <w14:schemeClr w14:val="tx1"/>
            </w14:solidFill>
          </w14:textFill>
        </w:rPr>
        <w:t>四害防治委托服务合同</w:t>
      </w:r>
    </w:p>
    <w:p w14:paraId="6FD3DC28">
      <w:pPr>
        <w:spacing w:afterLines="0"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p>
    <w:p w14:paraId="02D4094B">
      <w:pPr>
        <w:spacing w:afterLines="0" w:line="360" w:lineRule="auto"/>
        <w:ind w:firstLine="480" w:firstLineChars="200"/>
        <w:rPr>
          <w:rFonts w:hint="eastAsia" w:ascii="微软雅黑" w:hAnsi="微软雅黑" w:eastAsia="微软雅黑" w:cs="微软雅黑"/>
          <w:b/>
          <w:bCs w:val="0"/>
          <w:color w:val="000000" w:themeColor="text1"/>
          <w:sz w:val="24"/>
          <w:szCs w:val="24"/>
          <w14:textFill>
            <w14:solidFill>
              <w14:schemeClr w14:val="tx1"/>
            </w14:solidFill>
          </w14:textFill>
        </w:rPr>
      </w:pPr>
      <w:r>
        <w:rPr>
          <w:rFonts w:hint="eastAsia" w:ascii="微软雅黑" w:hAnsi="微软雅黑" w:eastAsia="微软雅黑" w:cs="微软雅黑"/>
          <w:b/>
          <w:bCs w:val="0"/>
          <w:color w:val="000000" w:themeColor="text1"/>
          <w:sz w:val="24"/>
          <w:szCs w:val="24"/>
          <w14:textFill>
            <w14:solidFill>
              <w14:schemeClr w14:val="tx1"/>
            </w14:solidFill>
          </w14:textFill>
        </w:rPr>
        <w:t>甲方（委托方）：</w:t>
      </w:r>
    </w:p>
    <w:p w14:paraId="024F66A7">
      <w:pPr>
        <w:spacing w:afterLines="0" w:line="360" w:lineRule="auto"/>
        <w:ind w:firstLine="480" w:firstLineChars="200"/>
        <w:rPr>
          <w:rFonts w:hint="eastAsia" w:ascii="微软雅黑" w:hAnsi="微软雅黑" w:eastAsia="微软雅黑" w:cs="微软雅黑"/>
          <w:b/>
          <w:bCs w:val="0"/>
          <w:color w:val="000000" w:themeColor="text1"/>
          <w:sz w:val="24"/>
          <w:szCs w:val="24"/>
          <w14:textFill>
            <w14:solidFill>
              <w14:schemeClr w14:val="tx1"/>
            </w14:solidFill>
          </w14:textFill>
        </w:rPr>
      </w:pPr>
      <w:r>
        <w:rPr>
          <w:rFonts w:hint="eastAsia" w:ascii="微软雅黑" w:hAnsi="微软雅黑" w:eastAsia="微软雅黑" w:cs="微软雅黑"/>
          <w:b/>
          <w:bCs w:val="0"/>
          <w:color w:val="000000" w:themeColor="text1"/>
          <w:sz w:val="24"/>
          <w:szCs w:val="24"/>
          <w14:textFill>
            <w14:solidFill>
              <w14:schemeClr w14:val="tx1"/>
            </w14:solidFill>
          </w14:textFill>
        </w:rPr>
        <w:t>统一社会信用代码：</w:t>
      </w:r>
    </w:p>
    <w:p w14:paraId="2AD0DE68">
      <w:pPr>
        <w:spacing w:afterLines="0" w:line="360" w:lineRule="auto"/>
        <w:ind w:firstLine="480" w:firstLineChars="200"/>
        <w:rPr>
          <w:rFonts w:hint="eastAsia" w:ascii="微软雅黑" w:hAnsi="微软雅黑" w:eastAsia="微软雅黑" w:cs="微软雅黑"/>
          <w:b/>
          <w:bCs w:val="0"/>
          <w:color w:val="000000" w:themeColor="text1"/>
          <w:sz w:val="24"/>
          <w:szCs w:val="24"/>
          <w14:textFill>
            <w14:solidFill>
              <w14:schemeClr w14:val="tx1"/>
            </w14:solidFill>
          </w14:textFill>
        </w:rPr>
      </w:pPr>
    </w:p>
    <w:p w14:paraId="61C2E88C">
      <w:pPr>
        <w:spacing w:afterLines="0" w:line="360" w:lineRule="auto"/>
        <w:ind w:firstLine="480" w:firstLineChars="200"/>
        <w:rPr>
          <w:rFonts w:hint="eastAsia" w:ascii="微软雅黑" w:hAnsi="微软雅黑" w:eastAsia="微软雅黑" w:cs="微软雅黑"/>
          <w:b/>
          <w:bCs w:val="0"/>
          <w:color w:val="000000" w:themeColor="text1"/>
          <w:sz w:val="24"/>
          <w:szCs w:val="24"/>
          <w14:textFill>
            <w14:solidFill>
              <w14:schemeClr w14:val="tx1"/>
            </w14:solidFill>
          </w14:textFill>
        </w:rPr>
      </w:pPr>
      <w:r>
        <w:rPr>
          <w:rFonts w:hint="eastAsia" w:ascii="微软雅黑" w:hAnsi="微软雅黑" w:eastAsia="微软雅黑" w:cs="微软雅黑"/>
          <w:b/>
          <w:bCs w:val="0"/>
          <w:color w:val="000000" w:themeColor="text1"/>
          <w:sz w:val="24"/>
          <w:szCs w:val="24"/>
          <w14:textFill>
            <w14:solidFill>
              <w14:schemeClr w14:val="tx1"/>
            </w14:solidFill>
          </w14:textFill>
        </w:rPr>
        <w:t>乙方（受托方）：</w:t>
      </w:r>
    </w:p>
    <w:p w14:paraId="7432CFCD">
      <w:pPr>
        <w:spacing w:afterLines="0" w:line="360" w:lineRule="auto"/>
        <w:ind w:firstLine="480" w:firstLineChars="200"/>
        <w:rPr>
          <w:rFonts w:hint="eastAsia" w:ascii="微软雅黑" w:hAnsi="微软雅黑" w:eastAsia="微软雅黑" w:cs="微软雅黑"/>
          <w:b/>
          <w:bCs w:val="0"/>
          <w:color w:val="000000" w:themeColor="text1"/>
          <w:sz w:val="24"/>
          <w:szCs w:val="24"/>
          <w14:textFill>
            <w14:solidFill>
              <w14:schemeClr w14:val="tx1"/>
            </w14:solidFill>
          </w14:textFill>
        </w:rPr>
      </w:pPr>
      <w:r>
        <w:rPr>
          <w:rFonts w:hint="eastAsia" w:ascii="微软雅黑" w:hAnsi="微软雅黑" w:eastAsia="微软雅黑" w:cs="微软雅黑"/>
          <w:b/>
          <w:bCs w:val="0"/>
          <w:color w:val="000000" w:themeColor="text1"/>
          <w:sz w:val="24"/>
          <w:szCs w:val="24"/>
          <w14:textFill>
            <w14:solidFill>
              <w14:schemeClr w14:val="tx1"/>
            </w14:solidFill>
          </w14:textFill>
        </w:rPr>
        <w:t>统一社会信用代码：</w:t>
      </w:r>
    </w:p>
    <w:p w14:paraId="7152F8EE">
      <w:pPr>
        <w:spacing w:afterLines="0"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p>
    <w:p w14:paraId="5718EA87">
      <w:pPr>
        <w:spacing w:afterLines="0"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根据政府的相关文件，为确保甲方经营，保证办公环境的干净整洁，使四害在市民的工作生活中造成的危害降到最低，甲乙双方经过平等协商，在真实、充分表达各自意愿的基础上，双方根据《中华人民共和国合</w:t>
      </w:r>
      <w:r>
        <w:rPr>
          <w:rFonts w:hint="eastAsia" w:ascii="微软雅黑" w:hAnsi="微软雅黑" w:eastAsia="微软雅黑" w:cs="微软雅黑"/>
          <w:color w:val="000000" w:themeColor="text1"/>
          <w:sz w:val="24"/>
          <w:szCs w:val="24"/>
          <w:lang w:val="en-US" w:eastAsia="zh-CN"/>
          <w14:textFill>
            <w14:solidFill>
              <w14:schemeClr w14:val="tx1"/>
            </w14:solidFill>
          </w14:textFill>
        </w:rPr>
        <w:t>民法典</w:t>
      </w:r>
      <w:r>
        <w:rPr>
          <w:rFonts w:hint="eastAsia" w:ascii="微软雅黑" w:hAnsi="微软雅黑" w:eastAsia="微软雅黑" w:cs="微软雅黑"/>
          <w:color w:val="000000" w:themeColor="text1"/>
          <w:sz w:val="24"/>
          <w:szCs w:val="24"/>
          <w14:textFill>
            <w14:solidFill>
              <w14:schemeClr w14:val="tx1"/>
            </w14:solidFill>
          </w14:textFill>
        </w:rPr>
        <w:t>》之规定，达成以下协议，由签约后各方共同遵守。</w:t>
      </w:r>
    </w:p>
    <w:p w14:paraId="63E00903">
      <w:pPr>
        <w:spacing w:afterLines="0"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b/>
          <w:bCs/>
          <w:color w:val="000000" w:themeColor="text1"/>
          <w:sz w:val="24"/>
          <w:szCs w:val="24"/>
          <w14:textFill>
            <w14:solidFill>
              <w14:schemeClr w14:val="tx1"/>
            </w14:solidFill>
          </w14:textFill>
        </w:rPr>
        <w:t>一、防治类别</w:t>
      </w:r>
      <w:r>
        <w:rPr>
          <w:rFonts w:hint="eastAsia" w:ascii="微软雅黑" w:hAnsi="微软雅黑" w:eastAsia="微软雅黑" w:cs="微软雅黑"/>
          <w:color w:val="000000" w:themeColor="text1"/>
          <w:sz w:val="24"/>
          <w:szCs w:val="24"/>
          <w14:textFill>
            <w14:solidFill>
              <w14:schemeClr w14:val="tx1"/>
            </w14:solidFill>
          </w14:textFill>
        </w:rPr>
        <w:t>：老鼠、蟑螂、苍蝇、蚊虫。若有特殊情况需要附加消杀次数时一年原则上不超过两次；若超过两次，每次费用按本合同约定价格进行折算，因乙方原因造成的返工除外。</w:t>
      </w:r>
    </w:p>
    <w:p w14:paraId="0A793E33">
      <w:pPr>
        <w:spacing w:afterLines="0" w:line="360" w:lineRule="auto"/>
        <w:ind w:firstLine="480" w:firstLineChars="200"/>
        <w:rPr>
          <w:rFonts w:hint="eastAsia" w:ascii="微软雅黑" w:hAnsi="微软雅黑" w:eastAsia="微软雅黑" w:cs="微软雅黑"/>
          <w:b/>
          <w:bCs/>
          <w:color w:val="000000" w:themeColor="text1"/>
          <w:sz w:val="24"/>
          <w:szCs w:val="24"/>
          <w14:textFill>
            <w14:solidFill>
              <w14:schemeClr w14:val="tx1"/>
            </w14:solidFill>
          </w14:textFill>
        </w:rPr>
      </w:pPr>
    </w:p>
    <w:p w14:paraId="4DCCBDA9">
      <w:pPr>
        <w:spacing w:afterLines="0"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b/>
          <w:bCs/>
          <w:color w:val="000000" w:themeColor="text1"/>
          <w:sz w:val="24"/>
          <w:szCs w:val="24"/>
          <w14:textFill>
            <w14:solidFill>
              <w14:schemeClr w14:val="tx1"/>
            </w14:solidFill>
          </w14:textFill>
        </w:rPr>
        <w:t>二、防治范围</w:t>
      </w:r>
      <w:r>
        <w:rPr>
          <w:rFonts w:hint="eastAsia" w:ascii="微软雅黑" w:hAnsi="微软雅黑" w:eastAsia="微软雅黑" w:cs="微软雅黑"/>
          <w:color w:val="000000" w:themeColor="text1"/>
          <w:sz w:val="24"/>
          <w:szCs w:val="24"/>
          <w14:textFill>
            <w14:solidFill>
              <w14:schemeClr w14:val="tx1"/>
            </w14:solidFill>
          </w14:textFill>
        </w:rPr>
        <w:t>：甲方指定的范围，具体为：</w:t>
      </w:r>
    </w:p>
    <w:p w14:paraId="2A3F58D9">
      <w:pPr>
        <w:spacing w:afterLines="0"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p>
    <w:p w14:paraId="4DD0AA38">
      <w:pPr>
        <w:spacing w:afterLines="0"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b/>
          <w:bCs/>
          <w:color w:val="000000" w:themeColor="text1"/>
          <w:sz w:val="24"/>
          <w:szCs w:val="24"/>
          <w14:textFill>
            <w14:solidFill>
              <w14:schemeClr w14:val="tx1"/>
            </w14:solidFill>
          </w14:textFill>
        </w:rPr>
        <w:t>三、防治方式及频率</w:t>
      </w:r>
      <w:r>
        <w:rPr>
          <w:rFonts w:hint="eastAsia" w:ascii="微软雅黑" w:hAnsi="微软雅黑" w:eastAsia="微软雅黑" w:cs="微软雅黑"/>
          <w:color w:val="000000" w:themeColor="text1"/>
          <w:sz w:val="24"/>
          <w:szCs w:val="24"/>
          <w14:textFill>
            <w14:solidFill>
              <w14:schemeClr w14:val="tx1"/>
            </w14:solidFill>
          </w14:textFill>
        </w:rPr>
        <w:t>：工作消杀时间由甲方一次性确定，原则上不作更改，乙方派专业技术人员定期每周喷投药物壹次，并监测四害密度，根据密度的高低增（减）喷投药物次数。暂定乙方服务日程为每周星期</w:t>
      </w:r>
      <w:r>
        <w:rPr>
          <w:rFonts w:hint="eastAsia" w:ascii="微软雅黑" w:hAnsi="微软雅黑" w:eastAsia="微软雅黑" w:cs="微软雅黑"/>
          <w:color w:val="000000" w:themeColor="text1"/>
          <w:sz w:val="24"/>
          <w:szCs w:val="24"/>
          <w:u w:val="single"/>
          <w14:textFill>
            <w14:solidFill>
              <w14:schemeClr w14:val="tx1"/>
            </w14:solidFill>
          </w14:textFill>
        </w:rPr>
        <w:t>三</w:t>
      </w:r>
      <w:r>
        <w:rPr>
          <w:rFonts w:hint="eastAsia" w:ascii="微软雅黑" w:hAnsi="微软雅黑" w:eastAsia="微软雅黑" w:cs="微软雅黑"/>
          <w:color w:val="000000" w:themeColor="text1"/>
          <w:sz w:val="24"/>
          <w:szCs w:val="24"/>
          <w14:textFill>
            <w14:solidFill>
              <w14:schemeClr w14:val="tx1"/>
            </w14:solidFill>
          </w14:textFill>
        </w:rPr>
        <w:t>，如该日程需要变更的，甲方应当提前三个工作日通知乙方。</w:t>
      </w:r>
    </w:p>
    <w:p w14:paraId="4F151D6A">
      <w:pPr>
        <w:spacing w:afterLines="0" w:line="360" w:lineRule="auto"/>
        <w:ind w:firstLine="480" w:firstLineChars="200"/>
        <w:rPr>
          <w:rFonts w:hint="eastAsia" w:ascii="微软雅黑" w:hAnsi="微软雅黑" w:eastAsia="微软雅黑" w:cs="微软雅黑"/>
          <w:b/>
          <w:bCs/>
          <w:color w:val="000000" w:themeColor="text1"/>
          <w:sz w:val="24"/>
          <w:szCs w:val="24"/>
          <w14:textFill>
            <w14:solidFill>
              <w14:schemeClr w14:val="tx1"/>
            </w14:solidFill>
          </w14:textFill>
        </w:rPr>
      </w:pPr>
    </w:p>
    <w:p w14:paraId="07F1A894">
      <w:pPr>
        <w:spacing w:afterLines="0"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b/>
          <w:bCs/>
          <w:color w:val="000000" w:themeColor="text1"/>
          <w:sz w:val="24"/>
          <w:szCs w:val="24"/>
          <w14:textFill>
            <w14:solidFill>
              <w14:schemeClr w14:val="tx1"/>
            </w14:solidFill>
          </w14:textFill>
        </w:rPr>
        <w:t>四、防治期限</w:t>
      </w:r>
      <w:r>
        <w:rPr>
          <w:rFonts w:hint="eastAsia" w:ascii="微软雅黑" w:hAnsi="微软雅黑" w:eastAsia="微软雅黑" w:cs="微软雅黑"/>
          <w:color w:val="000000" w:themeColor="text1"/>
          <w:sz w:val="24"/>
          <w:szCs w:val="24"/>
          <w14:textFill>
            <w14:solidFill>
              <w14:schemeClr w14:val="tx1"/>
            </w14:solidFill>
          </w14:textFill>
        </w:rPr>
        <w:t>：</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年</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月</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日至</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年</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月</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日</w:t>
      </w:r>
    </w:p>
    <w:p w14:paraId="05666D77">
      <w:pPr>
        <w:spacing w:afterLines="0" w:line="360" w:lineRule="auto"/>
        <w:ind w:firstLine="480" w:firstLineChars="200"/>
        <w:rPr>
          <w:rFonts w:hint="eastAsia" w:ascii="微软雅黑" w:hAnsi="微软雅黑" w:eastAsia="微软雅黑" w:cs="微软雅黑"/>
          <w:b/>
          <w:bCs/>
          <w:color w:val="000000" w:themeColor="text1"/>
          <w:sz w:val="24"/>
          <w:szCs w:val="24"/>
          <w14:textFill>
            <w14:solidFill>
              <w14:schemeClr w14:val="tx1"/>
            </w14:solidFill>
          </w14:textFill>
        </w:rPr>
      </w:pPr>
    </w:p>
    <w:p w14:paraId="6227C3C2">
      <w:pPr>
        <w:spacing w:afterLines="0"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b/>
          <w:bCs/>
          <w:color w:val="000000" w:themeColor="text1"/>
          <w:sz w:val="24"/>
          <w:szCs w:val="24"/>
          <w14:textFill>
            <w14:solidFill>
              <w14:schemeClr w14:val="tx1"/>
            </w14:solidFill>
          </w14:textFill>
        </w:rPr>
        <w:t>五、防治收费方式</w:t>
      </w:r>
      <w:r>
        <w:rPr>
          <w:rFonts w:hint="eastAsia" w:ascii="微软雅黑" w:hAnsi="微软雅黑" w:eastAsia="微软雅黑" w:cs="微软雅黑"/>
          <w:color w:val="000000" w:themeColor="text1"/>
          <w:sz w:val="24"/>
          <w:szCs w:val="24"/>
          <w14:textFill>
            <w14:solidFill>
              <w14:schemeClr w14:val="tx1"/>
            </w14:solidFill>
          </w14:textFill>
        </w:rPr>
        <w:t>：</w:t>
      </w:r>
    </w:p>
    <w:p w14:paraId="60ACCD50">
      <w:pPr>
        <w:spacing w:afterLines="0"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本期总额共</w:t>
      </w:r>
      <w:r>
        <w:rPr>
          <w:rFonts w:hint="eastAsia" w:ascii="微软雅黑" w:hAnsi="微软雅黑" w:eastAsia="微软雅黑" w:cs="微软雅黑"/>
          <w:color w:val="000000" w:themeColor="text1"/>
          <w:spacing w:val="4"/>
          <w:sz w:val="24"/>
          <w:szCs w:val="24"/>
          <w14:textFill>
            <w14:solidFill>
              <w14:schemeClr w14:val="tx1"/>
            </w14:solidFill>
          </w14:textFill>
        </w:rPr>
        <w:t>¥</w:t>
      </w:r>
      <w:r>
        <w:rPr>
          <w:rFonts w:hint="eastAsia" w:ascii="微软雅黑" w:hAnsi="微软雅黑" w:eastAsia="微软雅黑" w:cs="微软雅黑"/>
          <w:color w:val="000000" w:themeColor="text1"/>
          <w:spacing w:val="4"/>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pacing w:val="4"/>
          <w:sz w:val="24"/>
          <w:szCs w:val="24"/>
          <w14:textFill>
            <w14:solidFill>
              <w14:schemeClr w14:val="tx1"/>
            </w14:solidFill>
          </w14:textFill>
        </w:rPr>
        <w:t>元（大写：人民币</w:t>
      </w:r>
      <w:r>
        <w:rPr>
          <w:rFonts w:hint="eastAsia" w:ascii="微软雅黑" w:hAnsi="微软雅黑" w:eastAsia="微软雅黑" w:cs="微软雅黑"/>
          <w:color w:val="000000" w:themeColor="text1"/>
          <w:spacing w:val="4"/>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pacing w:val="4"/>
          <w:sz w:val="24"/>
          <w:szCs w:val="24"/>
          <w14:textFill>
            <w14:solidFill>
              <w14:schemeClr w14:val="tx1"/>
            </w14:solidFill>
          </w14:textFill>
        </w:rPr>
        <w:t>元）</w:t>
      </w:r>
      <w:r>
        <w:rPr>
          <w:rFonts w:hint="eastAsia" w:ascii="微软雅黑" w:hAnsi="微软雅黑" w:eastAsia="微软雅黑" w:cs="微软雅黑"/>
          <w:color w:val="000000" w:themeColor="text1"/>
          <w:sz w:val="24"/>
          <w:szCs w:val="24"/>
          <w14:textFill>
            <w14:solidFill>
              <w14:schemeClr w14:val="tx1"/>
            </w14:solidFill>
          </w14:textFill>
        </w:rPr>
        <w:t>，该费用已包含乙方为完成本合同义务甲方应当支付的全部费用。付款方式为：签订合同之日首付</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%即</w:t>
      </w:r>
      <w:r>
        <w:rPr>
          <w:rFonts w:hint="eastAsia" w:ascii="微软雅黑" w:hAnsi="微软雅黑" w:eastAsia="微软雅黑" w:cs="微软雅黑"/>
          <w:color w:val="000000" w:themeColor="text1"/>
          <w:spacing w:val="4"/>
          <w:sz w:val="24"/>
          <w:szCs w:val="24"/>
          <w14:textFill>
            <w14:solidFill>
              <w14:schemeClr w14:val="tx1"/>
            </w14:solidFill>
          </w14:textFill>
        </w:rPr>
        <w:t>¥</w:t>
      </w:r>
      <w:r>
        <w:rPr>
          <w:rFonts w:hint="eastAsia" w:ascii="微软雅黑" w:hAnsi="微软雅黑" w:eastAsia="微软雅黑" w:cs="微软雅黑"/>
          <w:color w:val="000000" w:themeColor="text1"/>
          <w:spacing w:val="4"/>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pacing w:val="4"/>
          <w:sz w:val="24"/>
          <w:szCs w:val="24"/>
          <w14:textFill>
            <w14:solidFill>
              <w14:schemeClr w14:val="tx1"/>
            </w14:solidFill>
          </w14:textFill>
        </w:rPr>
        <w:t>元（大写：人民币</w:t>
      </w:r>
      <w:r>
        <w:rPr>
          <w:rFonts w:hint="eastAsia" w:ascii="微软雅黑" w:hAnsi="微软雅黑" w:eastAsia="微软雅黑" w:cs="微软雅黑"/>
          <w:color w:val="000000" w:themeColor="text1"/>
          <w:spacing w:val="4"/>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pacing w:val="4"/>
          <w:sz w:val="24"/>
          <w:szCs w:val="24"/>
          <w14:textFill>
            <w14:solidFill>
              <w14:schemeClr w14:val="tx1"/>
            </w14:solidFill>
          </w14:textFill>
        </w:rPr>
        <w:t>元）</w:t>
      </w:r>
      <w:r>
        <w:rPr>
          <w:rFonts w:hint="eastAsia" w:ascii="微软雅黑" w:hAnsi="微软雅黑" w:eastAsia="微软雅黑" w:cs="微软雅黑"/>
          <w:color w:val="000000" w:themeColor="text1"/>
          <w:sz w:val="24"/>
          <w:szCs w:val="24"/>
          <w14:textFill>
            <w14:solidFill>
              <w14:schemeClr w14:val="tx1"/>
            </w14:solidFill>
          </w14:textFill>
        </w:rPr>
        <w:t>，剩余尾款</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%即</w:t>
      </w:r>
      <w:r>
        <w:rPr>
          <w:rFonts w:hint="eastAsia" w:ascii="微软雅黑" w:hAnsi="微软雅黑" w:eastAsia="微软雅黑" w:cs="微软雅黑"/>
          <w:color w:val="000000" w:themeColor="text1"/>
          <w:spacing w:val="4"/>
          <w:sz w:val="24"/>
          <w:szCs w:val="24"/>
          <w14:textFill>
            <w14:solidFill>
              <w14:schemeClr w14:val="tx1"/>
            </w14:solidFill>
          </w14:textFill>
        </w:rPr>
        <w:t>¥</w:t>
      </w:r>
      <w:r>
        <w:rPr>
          <w:rFonts w:hint="eastAsia" w:ascii="微软雅黑" w:hAnsi="微软雅黑" w:eastAsia="微软雅黑" w:cs="微软雅黑"/>
          <w:color w:val="000000" w:themeColor="text1"/>
          <w:spacing w:val="4"/>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pacing w:val="4"/>
          <w:sz w:val="24"/>
          <w:szCs w:val="24"/>
          <w14:textFill>
            <w14:solidFill>
              <w14:schemeClr w14:val="tx1"/>
            </w14:solidFill>
          </w14:textFill>
        </w:rPr>
        <w:t>元（大写：人民币</w:t>
      </w:r>
      <w:r>
        <w:rPr>
          <w:rFonts w:hint="eastAsia" w:ascii="微软雅黑" w:hAnsi="微软雅黑" w:eastAsia="微软雅黑" w:cs="微软雅黑"/>
          <w:color w:val="000000" w:themeColor="text1"/>
          <w:spacing w:val="4"/>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pacing w:val="4"/>
          <w:sz w:val="24"/>
          <w:szCs w:val="24"/>
          <w14:textFill>
            <w14:solidFill>
              <w14:schemeClr w14:val="tx1"/>
            </w14:solidFill>
          </w14:textFill>
        </w:rPr>
        <w:t>元）</w:t>
      </w:r>
      <w:r>
        <w:rPr>
          <w:rFonts w:hint="eastAsia" w:ascii="微软雅黑" w:hAnsi="微软雅黑" w:eastAsia="微软雅黑" w:cs="微软雅黑"/>
          <w:color w:val="000000" w:themeColor="text1"/>
          <w:sz w:val="24"/>
          <w:szCs w:val="24"/>
          <w14:textFill>
            <w14:solidFill>
              <w14:schemeClr w14:val="tx1"/>
            </w14:solidFill>
          </w14:textFill>
        </w:rPr>
        <w:t>于合同执行</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个月后支付。乙方每次收款前需开具准确无误且合法有效的正规发票方可结算，否则甲方付款期限顺延。</w:t>
      </w:r>
    </w:p>
    <w:p w14:paraId="4778504E">
      <w:pPr>
        <w:spacing w:afterLines="0" w:line="360" w:lineRule="auto"/>
        <w:ind w:firstLine="480" w:firstLineChars="200"/>
        <w:rPr>
          <w:rFonts w:hint="eastAsia" w:ascii="微软雅黑" w:hAnsi="微软雅黑" w:eastAsia="微软雅黑" w:cs="微软雅黑"/>
          <w:b/>
          <w:bCs/>
          <w:color w:val="000000" w:themeColor="text1"/>
          <w:sz w:val="24"/>
          <w:szCs w:val="24"/>
          <w14:textFill>
            <w14:solidFill>
              <w14:schemeClr w14:val="tx1"/>
            </w14:solidFill>
          </w14:textFill>
        </w:rPr>
      </w:pPr>
    </w:p>
    <w:p w14:paraId="7C84290B">
      <w:pPr>
        <w:spacing w:afterLines="0" w:line="360" w:lineRule="auto"/>
        <w:ind w:firstLine="480" w:firstLineChars="200"/>
        <w:rPr>
          <w:rFonts w:hint="eastAsia" w:ascii="微软雅黑" w:hAnsi="微软雅黑" w:eastAsia="微软雅黑" w:cs="微软雅黑"/>
          <w:b/>
          <w:bCs/>
          <w:color w:val="000000" w:themeColor="text1"/>
          <w:sz w:val="24"/>
          <w:szCs w:val="24"/>
          <w14:textFill>
            <w14:solidFill>
              <w14:schemeClr w14:val="tx1"/>
            </w14:solidFill>
          </w14:textFill>
        </w:rPr>
      </w:pPr>
      <w:r>
        <w:rPr>
          <w:rFonts w:hint="eastAsia" w:ascii="微软雅黑" w:hAnsi="微软雅黑" w:eastAsia="微软雅黑" w:cs="微软雅黑"/>
          <w:b/>
          <w:bCs/>
          <w:color w:val="000000" w:themeColor="text1"/>
          <w:sz w:val="24"/>
          <w:szCs w:val="24"/>
          <w14:textFill>
            <w14:solidFill>
              <w14:schemeClr w14:val="tx1"/>
            </w14:solidFill>
          </w14:textFill>
        </w:rPr>
        <w:t>六、防治效果</w:t>
      </w:r>
    </w:p>
    <w:p w14:paraId="1EEBA6F9">
      <w:pPr>
        <w:spacing w:afterLines="0"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乙方必须按科学的消杀操作程序进行消杀，保证药械质量及杀虫灭鼠效果，且达到全国及地方爱卫会、卫生局规定的标准，如数个标准不一致的，以严格标准为准。</w:t>
      </w:r>
    </w:p>
    <w:p w14:paraId="500611B9">
      <w:pPr>
        <w:spacing w:afterLines="0"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1、灭蝇标准：重点单位有蝇房间不超过1%，其他单位不超过3%，平均每阳性房间不超过3只；重点单位防蝇设施不合格房间不超过5%；蝇类孳生地得到有效治理，幼虫和蛹的检出率不超过3%。</w:t>
      </w:r>
    </w:p>
    <w:p w14:paraId="5474D8E6">
      <w:pPr>
        <w:spacing w:afterLines="0"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2、灭蚊标准：单位内外环境各种存水容器和积水中，蚊幼及蛹的阳性率不超过3%。</w:t>
      </w:r>
    </w:p>
    <w:p w14:paraId="50ABE9B7">
      <w:pPr>
        <w:spacing w:afterLines="0"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 xml:space="preserve">3、灭鼠标准：15平方米标准房间布放20×20厘米滑石粉块两块，一夜后阳性粉块不超过3%；有鼠洞、鼠粪、鼠咬痕等鼠迹的房间不超过2%；重点单位防鼠设施不合格处不超过5%。 </w:t>
      </w:r>
    </w:p>
    <w:p w14:paraId="66CCEDEA">
      <w:pPr>
        <w:spacing w:afterLines="0"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4、灭蟑螂标准：室内有蟑螂成虫或若虫阳性房间不超过3%，平均每间房大蠊不超过5只，小蠊不超过10只。有活蟑螂卵蛸房间不超过2%，平均每间房不超过4只。有蟑螂粪便、蜕皮等痕迹的房间不超过5%。</w:t>
      </w:r>
    </w:p>
    <w:p w14:paraId="7FA4B6E8">
      <w:pPr>
        <w:spacing w:afterLines="0" w:line="360" w:lineRule="auto"/>
        <w:ind w:firstLine="480" w:firstLineChars="200"/>
        <w:rPr>
          <w:rFonts w:hint="eastAsia" w:ascii="微软雅黑" w:hAnsi="微软雅黑" w:eastAsia="微软雅黑" w:cs="微软雅黑"/>
          <w:b/>
          <w:bCs/>
          <w:color w:val="000000" w:themeColor="text1"/>
          <w:sz w:val="24"/>
          <w:szCs w:val="24"/>
          <w14:textFill>
            <w14:solidFill>
              <w14:schemeClr w14:val="tx1"/>
            </w14:solidFill>
          </w14:textFill>
        </w:rPr>
      </w:pPr>
    </w:p>
    <w:p w14:paraId="31BE1E76">
      <w:pPr>
        <w:spacing w:afterLines="0" w:line="360" w:lineRule="auto"/>
        <w:ind w:firstLine="480" w:firstLineChars="200"/>
        <w:rPr>
          <w:rFonts w:hint="eastAsia" w:ascii="微软雅黑" w:hAnsi="微软雅黑" w:eastAsia="微软雅黑" w:cs="微软雅黑"/>
          <w:b/>
          <w:bCs/>
          <w:color w:val="000000" w:themeColor="text1"/>
          <w:sz w:val="24"/>
          <w:szCs w:val="24"/>
          <w14:textFill>
            <w14:solidFill>
              <w14:schemeClr w14:val="tx1"/>
            </w14:solidFill>
          </w14:textFill>
        </w:rPr>
      </w:pPr>
      <w:r>
        <w:rPr>
          <w:rFonts w:hint="eastAsia" w:ascii="微软雅黑" w:hAnsi="微软雅黑" w:eastAsia="微软雅黑" w:cs="微软雅黑"/>
          <w:b/>
          <w:bCs/>
          <w:color w:val="000000" w:themeColor="text1"/>
          <w:sz w:val="24"/>
          <w:szCs w:val="24"/>
          <w14:textFill>
            <w14:solidFill>
              <w14:schemeClr w14:val="tx1"/>
            </w14:solidFill>
          </w14:textFill>
        </w:rPr>
        <w:t>七、甲方义务</w:t>
      </w:r>
    </w:p>
    <w:p w14:paraId="55D6E738">
      <w:pPr>
        <w:spacing w:afterLines="0"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1、积极配合乙方做好进场前灭害宣传、教育和物品放置工作，并提前盖好餐具和厨房内的作料及食物；关闭好窗户及房门；确保乙方按时进场，并及时的、有效的在服务区域内全面积极的开展消杀工作。若甲方未按乙方要求在消杀前做好准备及配合工作，乙方可拒绝本次消杀。</w:t>
      </w:r>
    </w:p>
    <w:p w14:paraId="139087E7">
      <w:pPr>
        <w:spacing w:afterLines="0"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2、甲方根据乙方提出的综合治理的灭鼠方案，认真清扫鼠粪便，室内设立毒饵盒和堵塞通向外面孔道，室外建造人造鼠穴，开展经常性的灭鼠、防鼠工作。建立、健全、巩固、修理、保护和完善防鼠设施。</w:t>
      </w:r>
    </w:p>
    <w:p w14:paraId="104AC1B0">
      <w:pPr>
        <w:spacing w:afterLines="0"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3、甲方根据乙方提出的综合治理的灭蚊方案，清除和消灭孳生地，如垃圾堆、瓶子等废弃容器，疏通积水坑。室内养植水中植物每周换水一次，保持水的清洁，防止蚊幼孳生。</w:t>
      </w:r>
    </w:p>
    <w:p w14:paraId="4ECA8E3C">
      <w:pPr>
        <w:spacing w:afterLines="0"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4、甲方根据乙方提出的综合治理的灭蝇方案，认真开展卫生清扫，及时清运垃圾，清除地面上的污渍、建立合格的垃圾筒和垃圾房，消除蝇类孳生地。建立健全防蝇设施，纱窗、纱门、塑料条拉门等。</w:t>
      </w:r>
    </w:p>
    <w:p w14:paraId="17749212">
      <w:pPr>
        <w:spacing w:afterLines="0"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5、甲方根据乙方提出的综合治理的灭蟑螂方案，认真做好办公室、厨房、包房及厅面卫生工作，保持清洁干燥。特别是冰箱、食品柜、立柜缝隙边沿经常卫生打扫，不留死角。饮水机、水池不漏水，抹平墙缝、立柜、食品柜内等的缝隙。</w:t>
      </w:r>
    </w:p>
    <w:p w14:paraId="00BF86D7">
      <w:pPr>
        <w:spacing w:afterLines="0"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6、甲方可委派代表对乙方消杀工作实施现场监督监测，对每次防治工作后，提出意见和建议，以不断提高消杀质量，达到国家标准和合同要求。</w:t>
      </w:r>
    </w:p>
    <w:p w14:paraId="6AFA9C15">
      <w:pPr>
        <w:spacing w:afterLines="0"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7、开展“灭四害”工作时，甲方通知区域内的工作人员密切配合进行，做好消杀宣传工作，搞好室内外卫生，搬开物品，暴露墙角墙边，以保证好的消杀效果。</w:t>
      </w:r>
    </w:p>
    <w:p w14:paraId="5C8451B3">
      <w:pPr>
        <w:spacing w:afterLines="0"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8、在开展消杀工作时，需要用的水、电、简单修理工具时，甲方给予支持和提供，以保证消杀工作顺利进行，按时按质完成任务。</w:t>
      </w:r>
    </w:p>
    <w:p w14:paraId="3765BFDF">
      <w:pPr>
        <w:spacing w:afterLines="0"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9、甲方在接到上级有关部门检查和进行考核时，认真做好准备工作，开展大搞卫生工作，清理卫生死角，并及时通知乙方，迅速全面开展消杀工作。</w:t>
      </w:r>
    </w:p>
    <w:p w14:paraId="79DDFE25">
      <w:pPr>
        <w:spacing w:afterLines="0" w:line="360" w:lineRule="auto"/>
        <w:ind w:firstLine="480" w:firstLineChars="200"/>
        <w:rPr>
          <w:rFonts w:hint="eastAsia" w:ascii="微软雅黑" w:hAnsi="微软雅黑" w:eastAsia="微软雅黑" w:cs="微软雅黑"/>
          <w:b/>
          <w:bCs/>
          <w:color w:val="000000" w:themeColor="text1"/>
          <w:sz w:val="24"/>
          <w:szCs w:val="24"/>
          <w14:textFill>
            <w14:solidFill>
              <w14:schemeClr w14:val="tx1"/>
            </w14:solidFill>
          </w14:textFill>
        </w:rPr>
      </w:pPr>
    </w:p>
    <w:p w14:paraId="5B5B326B">
      <w:pPr>
        <w:spacing w:afterLines="0" w:line="360" w:lineRule="auto"/>
        <w:ind w:firstLine="480" w:firstLineChars="200"/>
        <w:rPr>
          <w:rFonts w:hint="eastAsia" w:ascii="微软雅黑" w:hAnsi="微软雅黑" w:eastAsia="微软雅黑" w:cs="微软雅黑"/>
          <w:b/>
          <w:bCs/>
          <w:color w:val="000000" w:themeColor="text1"/>
          <w:sz w:val="24"/>
          <w:szCs w:val="24"/>
          <w14:textFill>
            <w14:solidFill>
              <w14:schemeClr w14:val="tx1"/>
            </w14:solidFill>
          </w14:textFill>
        </w:rPr>
      </w:pPr>
      <w:r>
        <w:rPr>
          <w:rFonts w:hint="eastAsia" w:ascii="微软雅黑" w:hAnsi="微软雅黑" w:eastAsia="微软雅黑" w:cs="微软雅黑"/>
          <w:b/>
          <w:bCs/>
          <w:color w:val="000000" w:themeColor="text1"/>
          <w:sz w:val="24"/>
          <w:szCs w:val="24"/>
          <w14:textFill>
            <w14:solidFill>
              <w14:schemeClr w14:val="tx1"/>
            </w14:solidFill>
          </w14:textFill>
        </w:rPr>
        <w:t>八、乙方义务</w:t>
      </w:r>
    </w:p>
    <w:p w14:paraId="166E47E7">
      <w:pPr>
        <w:spacing w:afterLines="0"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1、乙方应按工作规范要求，具体安排时间进行灭害消杀工作。实施消杀时间将准确告知甲方，并按时进场开展灭害工作，以保证防治效果达到合同标准的要求。</w:t>
      </w:r>
    </w:p>
    <w:p w14:paraId="2500D950">
      <w:pPr>
        <w:spacing w:afterLines="0"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2、在灭害工作期间，不能影响甲方的正常经营和工作秩序。</w:t>
      </w:r>
    </w:p>
    <w:p w14:paraId="59A48829">
      <w:pPr>
        <w:spacing w:afterLines="0"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3、乙方工作人员进场消杀时，要爱护甲方一切设施和物品。如因乙方人员造成的物品损坏，丢失时，照价赔偿。</w:t>
      </w:r>
    </w:p>
    <w:p w14:paraId="1419FEF4">
      <w:pPr>
        <w:spacing w:afterLines="0"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4、对消杀的质量必须保持高标准、高水平，灭鼠药投放做到“三饱和”时间、空间、药量。随时保证食饵较好的适口性。灭虫药物滞留喷洒在物体表面的药液时，应该是潮湿均匀，潮匀而不流，药液用量为100ml/m2，并不遗漏。</w:t>
      </w:r>
    </w:p>
    <w:p w14:paraId="0FC2891C">
      <w:pPr>
        <w:spacing w:afterLines="0"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5、根据“鼠类、蝇类、蚊类、蟑螂类”生活习性和消涨时间，要科学的安排消杀灭鼠、灭蝇、灭蚊、灭蟑螂时间和具体月份，增减灭鼠、灭蝇、灭蟑螂的次数。同时，指导监督做好防蝇、防鼠设置建立建全的工作。</w:t>
      </w:r>
    </w:p>
    <w:p w14:paraId="13277372">
      <w:pPr>
        <w:spacing w:afterLines="0"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6、应使用质量合格的药剂：灭鼠药应为慢性、低毒、安全的毒鼠药—溴鼠灵腊块和新鲜的溴敌隆小麦毒饵（并根据鼠类食饵的情况，随时调整基饵，如小鱼、小虾、水果、蔬菜等）。</w:t>
      </w:r>
    </w:p>
    <w:p w14:paraId="591E698B">
      <w:pPr>
        <w:spacing w:afterLines="0"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灭蝇药物使用为拟除虫菊脂—优士、充分发挥10%高效氯氰菊脂的杀虫的优势，增强灭蝇药效果。</w:t>
      </w:r>
    </w:p>
    <w:p w14:paraId="16C3406D">
      <w:pPr>
        <w:spacing w:afterLines="0"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灭蟑螂药物使用为立柱牌，“灭蟑王”与福洁杀蟑饵剂，杀灭德国小蠊。“灭蟑王”杀蟑螂饵剂，杀灭黑胸大蠊。饵剂可涂抹食堂、厨房、水池、食物储存柜、冰箱、衣柜、水桶、鞋柜等阴暗处。</w:t>
      </w:r>
    </w:p>
    <w:p w14:paraId="6AC2C41D">
      <w:pPr>
        <w:spacing w:afterLines="0"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7、做好资料的收集，整理和积累工作，消杀前，对阳性地方进行记录，消杀中，对认真仔细的消杀情况进行记录，消杀后，对阳性地方消杀情况进行记录。每次消杀工作完毕，乙方应当将工作记录交于甲方备案，作为甲方确认乙方完成工作的依据。</w:t>
      </w:r>
    </w:p>
    <w:p w14:paraId="1CF15558">
      <w:pPr>
        <w:spacing w:afterLines="0"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8、甲方单位的上级部门对消杀工作效果组织检查验收时，应保证消杀质量达到国家相关标准和合同要求。</w:t>
      </w:r>
    </w:p>
    <w:p w14:paraId="67CAD72E">
      <w:pPr>
        <w:spacing w:afterLines="0"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9、消杀的收费严格按照物价局和卫生厅对“灭鼠、灭蚊、灭蝇、灭蟑螂”消杀工作收费标准执行。</w:t>
      </w:r>
    </w:p>
    <w:p w14:paraId="1D6461AD">
      <w:pPr>
        <w:spacing w:afterLines="0" w:line="360" w:lineRule="auto"/>
        <w:ind w:firstLine="480" w:firstLineChars="200"/>
        <w:rPr>
          <w:rFonts w:hint="eastAsia" w:ascii="微软雅黑" w:hAnsi="微软雅黑" w:eastAsia="微软雅黑" w:cs="微软雅黑"/>
          <w:b/>
          <w:bCs/>
          <w:color w:val="000000" w:themeColor="text1"/>
          <w:sz w:val="24"/>
          <w:szCs w:val="24"/>
          <w14:textFill>
            <w14:solidFill>
              <w14:schemeClr w14:val="tx1"/>
            </w14:solidFill>
          </w14:textFill>
        </w:rPr>
      </w:pPr>
    </w:p>
    <w:p w14:paraId="0553D07A">
      <w:pPr>
        <w:spacing w:afterLines="0" w:line="360" w:lineRule="auto"/>
        <w:ind w:firstLine="480" w:firstLineChars="200"/>
        <w:rPr>
          <w:rFonts w:hint="eastAsia" w:ascii="微软雅黑" w:hAnsi="微软雅黑" w:eastAsia="微软雅黑" w:cs="微软雅黑"/>
          <w:b/>
          <w:bCs/>
          <w:color w:val="000000" w:themeColor="text1"/>
          <w:sz w:val="24"/>
          <w:szCs w:val="24"/>
          <w14:textFill>
            <w14:solidFill>
              <w14:schemeClr w14:val="tx1"/>
            </w14:solidFill>
          </w14:textFill>
        </w:rPr>
      </w:pPr>
      <w:r>
        <w:rPr>
          <w:rFonts w:hint="eastAsia" w:ascii="微软雅黑" w:hAnsi="微软雅黑" w:eastAsia="微软雅黑" w:cs="微软雅黑"/>
          <w:b/>
          <w:bCs/>
          <w:color w:val="000000" w:themeColor="text1"/>
          <w:sz w:val="24"/>
          <w:szCs w:val="24"/>
          <w14:textFill>
            <w14:solidFill>
              <w14:schemeClr w14:val="tx1"/>
            </w14:solidFill>
          </w14:textFill>
        </w:rPr>
        <w:t>九、双方责任</w:t>
      </w:r>
    </w:p>
    <w:p w14:paraId="2D7A2E4D">
      <w:pPr>
        <w:spacing w:afterLines="0"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1、乙方防治效果必须达到国家标准或合同的要求，否则甲方有权拒付消杀工作所用的费用，由乙方继续免费消杀，直至达到国家标准为止。因乙方防治效果不达标而造成损失的，乙方应承担全部责任。</w:t>
      </w:r>
    </w:p>
    <w:p w14:paraId="3B42F0FB">
      <w:pPr>
        <w:spacing w:afterLines="0"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2、乙方发现甲方的环境治理存在问题时，应于当天向甲方出具书面的环境综合治理方案，积极指导甲方进行整改，协助甲方做好蝇、蚊孳生地消除，防蝇、防鼠设置的建立健全等措施，甲方应当接受乙方的合理建议。如甲方无故拒绝按照乙方方案整治并因此导致乙方消杀防治效果达不到预期效果的，造成的损失和罚款由甲方全部承担。</w:t>
      </w:r>
    </w:p>
    <w:p w14:paraId="2320505D">
      <w:pPr>
        <w:spacing w:afterLines="0"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3、乙方防治效果达到国家标准或合同要求时，甲方按合同规定费用的数量和时间给予支付。如遇到特殊原因外，本着协商互让的原则解决问题，不得随意终止和变更合同。</w:t>
      </w:r>
    </w:p>
    <w:p w14:paraId="1790EFF6">
      <w:pPr>
        <w:spacing w:afterLines="0"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4、乙方放置药剂应当注意选择人与动物不易接触的地点，并采取必要的隔离措施，在放置点设置明显的警示标识，避免人与动物的接触和误食。</w:t>
      </w:r>
    </w:p>
    <w:p w14:paraId="4BDFDB5E">
      <w:pPr>
        <w:spacing w:afterLines="0"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5、发生中毒意外时，甲乙双方首先都应积极行动起来，极力配合对中毒者实施抢救，将损失减少到最小。并由甲方应协助配合乙方积极调查此事；若检查出中毒原因是由乙方操作不当等原因而引起的一切责任由乙方自行负责；如果是由甲方公司的人为因素引起的，甲方应承担一切后果。</w:t>
      </w:r>
    </w:p>
    <w:p w14:paraId="6FC156CD">
      <w:pPr>
        <w:spacing w:afterLines="0"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6、乙方工作所需的药剂、设备等由乙方自行提供、管理，并承担相应管理责任。</w:t>
      </w:r>
    </w:p>
    <w:p w14:paraId="4581AF77">
      <w:pPr>
        <w:spacing w:afterLines="0"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7、任何一方不得擅自解除本协议或者转让本合同项下的全部或部分权利和义务。</w:t>
      </w:r>
    </w:p>
    <w:p w14:paraId="54127069">
      <w:pPr>
        <w:spacing w:afterLines="0" w:line="360" w:lineRule="auto"/>
        <w:ind w:firstLine="480" w:firstLineChars="200"/>
        <w:rPr>
          <w:rFonts w:hint="eastAsia" w:ascii="微软雅黑" w:hAnsi="微软雅黑" w:eastAsia="微软雅黑" w:cs="微软雅黑"/>
          <w:b/>
          <w:bCs/>
          <w:color w:val="000000" w:themeColor="text1"/>
          <w:sz w:val="24"/>
          <w:szCs w:val="24"/>
          <w14:textFill>
            <w14:solidFill>
              <w14:schemeClr w14:val="tx1"/>
            </w14:solidFill>
          </w14:textFill>
        </w:rPr>
      </w:pPr>
    </w:p>
    <w:p w14:paraId="20A1A8D3">
      <w:pPr>
        <w:spacing w:afterLines="0" w:line="360" w:lineRule="auto"/>
        <w:ind w:firstLine="480" w:firstLineChars="200"/>
        <w:rPr>
          <w:rFonts w:hint="eastAsia" w:ascii="微软雅黑" w:hAnsi="微软雅黑" w:eastAsia="微软雅黑" w:cs="微软雅黑"/>
          <w:b/>
          <w:bCs/>
          <w:color w:val="000000" w:themeColor="text1"/>
          <w:sz w:val="24"/>
          <w:szCs w:val="24"/>
          <w14:textFill>
            <w14:solidFill>
              <w14:schemeClr w14:val="tx1"/>
            </w14:solidFill>
          </w14:textFill>
        </w:rPr>
      </w:pPr>
      <w:r>
        <w:rPr>
          <w:rFonts w:hint="eastAsia" w:ascii="微软雅黑" w:hAnsi="微软雅黑" w:eastAsia="微软雅黑" w:cs="微软雅黑"/>
          <w:b/>
          <w:bCs/>
          <w:color w:val="000000" w:themeColor="text1"/>
          <w:sz w:val="24"/>
          <w:szCs w:val="24"/>
          <w14:textFill>
            <w14:solidFill>
              <w14:schemeClr w14:val="tx1"/>
            </w14:solidFill>
          </w14:textFill>
        </w:rPr>
        <w:t>十、免责条款</w:t>
      </w:r>
    </w:p>
    <w:p w14:paraId="6839A5D7">
      <w:pPr>
        <w:keepNext w:val="0"/>
        <w:keepLines w:val="0"/>
        <w:widowControl w:val="0"/>
        <w:suppressLineNumbers w:val="0"/>
        <w:autoSpaceDE w:val="0"/>
        <w:autoSpaceDN w:val="0"/>
        <w:spacing w:before="0" w:beforeAutospacing="0" w:after="0" w:afterLines="0" w:afterAutospacing="0" w:line="360" w:lineRule="auto"/>
        <w:ind w:left="0" w:right="0" w:firstLine="480" w:firstLineChars="200"/>
        <w:jc w:val="both"/>
        <w:rPr>
          <w:rFonts w:hint="eastAsia" w:ascii="微软雅黑" w:hAnsi="微软雅黑" w:eastAsia="微软雅黑" w:cs="微软雅黑"/>
          <w:color w:val="000000" w:themeColor="text1"/>
          <w:sz w:val="24"/>
          <w:szCs w:val="24"/>
          <w:lang w:eastAsia="zh-CN"/>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1．当发生不可抗力，包括但不限于自然灾害、战争、动乱、罢工等；或出现法律法规、政府政策变化；或意外事件，导致本合同不能继续履行，遭受免责事件的一方应通知对方、采取相应措施避免损失的扩大，并在免责事项发生后向对方提供相关部门的书面证明文件，方可免除相应的违约责任。</w:t>
      </w:r>
    </w:p>
    <w:p w14:paraId="5D0DFEDD">
      <w:pPr>
        <w:keepNext w:val="0"/>
        <w:keepLines w:val="0"/>
        <w:widowControl w:val="0"/>
        <w:suppressLineNumbers w:val="0"/>
        <w:autoSpaceDE w:val="0"/>
        <w:autoSpaceDN w:val="0"/>
        <w:spacing w:before="0" w:beforeAutospacing="0" w:after="0" w:afterLines="0" w:afterAutospacing="0" w:line="360" w:lineRule="auto"/>
        <w:ind w:left="0" w:right="0" w:firstLine="480" w:firstLineChars="200"/>
        <w:jc w:val="both"/>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2．当出现双方在订立合同时无法预见的、不属于商业风险的重大变化，双方不能协商变更合同导致合同解除的，双方互不承担违约责任。</w:t>
      </w:r>
    </w:p>
    <w:p w14:paraId="6FE3AC82">
      <w:pPr>
        <w:spacing w:afterLines="0"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3．因治安管理案件或刑事犯罪案件，包括但不限于故意伤害、爆炸、偷盗、抢劫等导致人身伤害或财产损失的，由行为人承担责任</w:t>
      </w:r>
      <w:r>
        <w:rPr>
          <w:rFonts w:hint="eastAsia" w:ascii="微软雅黑" w:hAnsi="微软雅黑" w:eastAsia="微软雅黑" w:cs="微软雅黑"/>
          <w:color w:val="000000" w:themeColor="text1"/>
          <w:sz w:val="24"/>
          <w:szCs w:val="24"/>
          <w14:textFill>
            <w14:solidFill>
              <w14:schemeClr w14:val="tx1"/>
            </w14:solidFill>
          </w14:textFill>
        </w:rPr>
        <w:t>。</w:t>
      </w:r>
    </w:p>
    <w:p w14:paraId="19F2BE58">
      <w:pPr>
        <w:spacing w:afterLines="0" w:line="360" w:lineRule="auto"/>
        <w:ind w:firstLine="480" w:firstLineChars="200"/>
        <w:rPr>
          <w:rFonts w:hint="eastAsia" w:ascii="微软雅黑" w:hAnsi="微软雅黑" w:eastAsia="微软雅黑" w:cs="微软雅黑"/>
          <w:b/>
          <w:color w:val="000000" w:themeColor="text1"/>
          <w:sz w:val="24"/>
          <w:szCs w:val="24"/>
          <w14:textFill>
            <w14:solidFill>
              <w14:schemeClr w14:val="tx1"/>
            </w14:solidFill>
          </w14:textFill>
        </w:rPr>
      </w:pPr>
    </w:p>
    <w:p w14:paraId="44BCAC62">
      <w:pPr>
        <w:spacing w:afterLines="0" w:line="360" w:lineRule="auto"/>
        <w:ind w:firstLine="480" w:firstLineChars="200"/>
        <w:rPr>
          <w:rFonts w:hint="eastAsia" w:ascii="微软雅黑" w:hAnsi="微软雅黑" w:eastAsia="微软雅黑" w:cs="微软雅黑"/>
          <w:b/>
          <w:color w:val="000000" w:themeColor="text1"/>
          <w:sz w:val="24"/>
          <w:szCs w:val="24"/>
          <w14:textFill>
            <w14:solidFill>
              <w14:schemeClr w14:val="tx1"/>
            </w14:solidFill>
          </w14:textFill>
        </w:rPr>
      </w:pPr>
      <w:r>
        <w:rPr>
          <w:rFonts w:hint="eastAsia" w:ascii="微软雅黑" w:hAnsi="微软雅黑" w:eastAsia="微软雅黑" w:cs="微软雅黑"/>
          <w:b/>
          <w:color w:val="000000" w:themeColor="text1"/>
          <w:sz w:val="24"/>
          <w:szCs w:val="24"/>
          <w14:textFill>
            <w14:solidFill>
              <w14:schemeClr w14:val="tx1"/>
            </w14:solidFill>
          </w14:textFill>
        </w:rPr>
        <w:t>十一、特别约定</w:t>
      </w:r>
    </w:p>
    <w:p w14:paraId="0AF63E5D">
      <w:pPr>
        <w:spacing w:afterLines="0"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1、</w:t>
      </w:r>
    </w:p>
    <w:p w14:paraId="4B9581C4">
      <w:pPr>
        <w:spacing w:afterLines="0" w:line="360" w:lineRule="auto"/>
        <w:ind w:firstLine="480" w:firstLineChars="200"/>
        <w:rPr>
          <w:rFonts w:hint="eastAsia" w:ascii="微软雅黑" w:hAnsi="微软雅黑" w:eastAsia="微软雅黑" w:cs="微软雅黑"/>
          <w:bCs/>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2、</w:t>
      </w:r>
    </w:p>
    <w:p w14:paraId="6BD4088A">
      <w:pPr>
        <w:spacing w:afterLines="0" w:line="360" w:lineRule="auto"/>
        <w:ind w:firstLine="480" w:firstLineChars="200"/>
        <w:rPr>
          <w:rFonts w:hint="eastAsia" w:ascii="微软雅黑" w:hAnsi="微软雅黑" w:eastAsia="微软雅黑" w:cs="微软雅黑"/>
          <w:b/>
          <w:bCs/>
          <w:color w:val="000000" w:themeColor="text1"/>
          <w:sz w:val="24"/>
          <w:szCs w:val="24"/>
          <w14:textFill>
            <w14:solidFill>
              <w14:schemeClr w14:val="tx1"/>
            </w14:solidFill>
          </w14:textFill>
        </w:rPr>
      </w:pPr>
    </w:p>
    <w:p w14:paraId="376F6C68">
      <w:pPr>
        <w:spacing w:afterLines="0" w:line="360" w:lineRule="auto"/>
        <w:ind w:firstLine="480" w:firstLineChars="200"/>
        <w:rPr>
          <w:rFonts w:hint="eastAsia" w:ascii="微软雅黑" w:hAnsi="微软雅黑" w:eastAsia="微软雅黑" w:cs="微软雅黑"/>
          <w:b/>
          <w:bCs/>
          <w:color w:val="000000" w:themeColor="text1"/>
          <w:sz w:val="24"/>
          <w:szCs w:val="24"/>
          <w14:textFill>
            <w14:solidFill>
              <w14:schemeClr w14:val="tx1"/>
            </w14:solidFill>
          </w14:textFill>
        </w:rPr>
      </w:pPr>
      <w:r>
        <w:rPr>
          <w:rFonts w:hint="eastAsia" w:ascii="微软雅黑" w:hAnsi="微软雅黑" w:eastAsia="微软雅黑" w:cs="微软雅黑"/>
          <w:b/>
          <w:bCs/>
          <w:color w:val="000000" w:themeColor="text1"/>
          <w:sz w:val="24"/>
          <w:szCs w:val="24"/>
          <w14:textFill>
            <w14:solidFill>
              <w14:schemeClr w14:val="tx1"/>
            </w14:solidFill>
          </w14:textFill>
        </w:rPr>
        <w:t>十二、违约责任</w:t>
      </w:r>
    </w:p>
    <w:p w14:paraId="6F567E63">
      <w:pPr>
        <w:spacing w:afterLines="0"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1、甲方未按本合同约定向乙方支付费用的，每逾期一天应当向乙方支付万分五的违约金。</w:t>
      </w:r>
    </w:p>
    <w:p w14:paraId="6C581484">
      <w:pPr>
        <w:spacing w:afterLines="0"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2、乙方未按照本合同约定时间提供服务或者防治效果达不到本合同约定标准的，每发生一次应当向甲方支付500元的违约金。</w:t>
      </w:r>
    </w:p>
    <w:p w14:paraId="6059B770">
      <w:pPr>
        <w:spacing w:afterLines="0"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3、乙方出现下列严重违约行为时，甲方有权单方解除本合同，</w:t>
      </w:r>
      <w:r>
        <w:rPr>
          <w:rFonts w:hint="eastAsia" w:ascii="微软雅黑" w:hAnsi="微软雅黑" w:eastAsia="微软雅黑" w:cs="微软雅黑"/>
          <w:color w:val="000000" w:themeColor="text1"/>
          <w:sz w:val="24"/>
          <w:szCs w:val="24"/>
          <w:lang w:val="en-US" w:eastAsia="zh-Hans"/>
          <w14:textFill>
            <w14:solidFill>
              <w14:schemeClr w14:val="tx1"/>
            </w14:solidFill>
          </w14:textFill>
        </w:rPr>
        <w:t>自甲方的书面通知到达乙方之日合同解除，乙方对合同解除有异议的，可以向</w:t>
      </w:r>
      <w:r>
        <w:rPr>
          <w:rFonts w:hint="eastAsia" w:ascii="微软雅黑" w:hAnsi="微软雅黑" w:eastAsia="微软雅黑" w:cs="微软雅黑"/>
          <w:color w:val="000000" w:themeColor="text1"/>
          <w:sz w:val="24"/>
          <w:szCs w:val="24"/>
          <w:lang w:val="en-US" w:eastAsia="zh-CN"/>
          <w14:textFill>
            <w14:solidFill>
              <w14:schemeClr w14:val="tx1"/>
            </w14:solidFill>
          </w14:textFill>
        </w:rPr>
        <w:t>蚌埠仲裁委</w:t>
      </w:r>
      <w:r>
        <w:rPr>
          <w:rFonts w:hint="eastAsia" w:ascii="微软雅黑" w:hAnsi="微软雅黑" w:eastAsia="微软雅黑" w:cs="微软雅黑"/>
          <w:color w:val="000000" w:themeColor="text1"/>
          <w:sz w:val="24"/>
          <w:szCs w:val="24"/>
          <w:lang w:val="en-US" w:eastAsia="zh-Hans"/>
          <w14:textFill>
            <w14:solidFill>
              <w14:schemeClr w14:val="tx1"/>
            </w14:solidFill>
          </w14:textFill>
        </w:rPr>
        <w:t>确认解除的效力</w:t>
      </w:r>
      <w:r>
        <w:rPr>
          <w:rFonts w:hint="eastAsia" w:ascii="微软雅黑" w:hAnsi="微软雅黑" w:eastAsia="微软雅黑" w:cs="微软雅黑"/>
          <w:color w:val="000000" w:themeColor="text1"/>
          <w:sz w:val="24"/>
          <w:szCs w:val="24"/>
          <w14:textFill>
            <w14:solidFill>
              <w14:schemeClr w14:val="tx1"/>
            </w14:solidFill>
          </w14:textFill>
        </w:rPr>
        <w:t>:</w:t>
      </w:r>
    </w:p>
    <w:p w14:paraId="3D801324">
      <w:pPr>
        <w:spacing w:afterLines="0"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（1）逾期进场进行消杀工作或者防治效果达不到合同约定标准的事件累计发生三次；</w:t>
      </w:r>
    </w:p>
    <w:p w14:paraId="31973F5A">
      <w:pPr>
        <w:spacing w:afterLines="0"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（2）乙方的防治效果不达标且拒绝进行返工，经甲方责令三日内仍未纠正违约行为的；</w:t>
      </w:r>
    </w:p>
    <w:p w14:paraId="217E4694">
      <w:pPr>
        <w:spacing w:afterLines="0"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（3）乙方擅自将本合同项下的义务转让给第三人，在给乙方发出通知后3天内仍未改正的；</w:t>
      </w:r>
    </w:p>
    <w:p w14:paraId="6897ECE9">
      <w:pPr>
        <w:spacing w:afterLines="0"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（4）违反国家和地区法律法规的其他情形。</w:t>
      </w:r>
    </w:p>
    <w:p w14:paraId="6AB34ACC">
      <w:pPr>
        <w:spacing w:afterLines="0"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4、乙方擅自单方解除本合同或者明确表示拒绝履行本合同项下义务的，应当返还甲方已支付的全部价款，向甲方支付本合同金额20%的违约金，并赔偿甲方全部损失。</w:t>
      </w:r>
    </w:p>
    <w:p w14:paraId="45DD7557">
      <w:pPr>
        <w:spacing w:afterLines="0"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lang w:val="en-US" w:eastAsia="zh-CN"/>
          <w14:textFill>
            <w14:solidFill>
              <w14:schemeClr w14:val="tx1"/>
            </w14:solidFill>
          </w14:textFill>
        </w:rPr>
        <w:t>5</w:t>
      </w:r>
      <w:r>
        <w:rPr>
          <w:rFonts w:hint="eastAsia" w:ascii="微软雅黑" w:hAnsi="微软雅黑" w:eastAsia="微软雅黑" w:cs="微软雅黑"/>
          <w:color w:val="000000" w:themeColor="text1"/>
          <w:sz w:val="24"/>
          <w:szCs w:val="24"/>
          <w14:textFill>
            <w14:solidFill>
              <w14:schemeClr w14:val="tx1"/>
            </w14:solidFill>
          </w14:textFill>
        </w:rPr>
        <w:t>、乙方违反本合同约定或法律规定，应当赔偿甲方产生的全部损失，包括但不限于：直接损失、预期利益损失、甲方向第三人支付的违约金、赔偿金及甲方为索赔支出的诉讼费、律师费、交通费、保全费、保全担保费、鉴定费、公证费、评估费等全部费用。</w:t>
      </w:r>
    </w:p>
    <w:p w14:paraId="5C2BD93D">
      <w:pPr>
        <w:spacing w:afterLines="0"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乙方应当支付给甲方的违约金、赔偿金，甲方有权从未支付的价款中扣除（若有），违约金、赔偿金不足以弥补甲方损失的，甲方仍有权向乙方进行追索。</w:t>
      </w:r>
    </w:p>
    <w:p w14:paraId="2B99262D">
      <w:pPr>
        <w:spacing w:afterLines="0" w:line="360" w:lineRule="auto"/>
        <w:ind w:firstLine="480" w:firstLineChars="200"/>
        <w:rPr>
          <w:rFonts w:hint="eastAsia" w:ascii="微软雅黑" w:hAnsi="微软雅黑" w:eastAsia="微软雅黑" w:cs="微软雅黑"/>
          <w:b/>
          <w:bCs/>
          <w:color w:val="000000" w:themeColor="text1"/>
          <w:sz w:val="24"/>
          <w:szCs w:val="24"/>
          <w14:textFill>
            <w14:solidFill>
              <w14:schemeClr w14:val="tx1"/>
            </w14:solidFill>
          </w14:textFill>
        </w:rPr>
      </w:pPr>
    </w:p>
    <w:p w14:paraId="3F59CF57">
      <w:pPr>
        <w:spacing w:afterLines="0" w:line="360" w:lineRule="auto"/>
        <w:ind w:firstLine="480" w:firstLineChars="200"/>
        <w:rPr>
          <w:rFonts w:hint="eastAsia" w:ascii="微软雅黑" w:hAnsi="微软雅黑" w:eastAsia="微软雅黑" w:cs="微软雅黑"/>
          <w:b/>
          <w:bCs/>
          <w:color w:val="000000" w:themeColor="text1"/>
          <w:sz w:val="24"/>
          <w:szCs w:val="24"/>
          <w14:textFill>
            <w14:solidFill>
              <w14:schemeClr w14:val="tx1"/>
            </w14:solidFill>
          </w14:textFill>
        </w:rPr>
      </w:pPr>
      <w:r>
        <w:rPr>
          <w:rFonts w:hint="eastAsia" w:ascii="微软雅黑" w:hAnsi="微软雅黑" w:eastAsia="微软雅黑" w:cs="微软雅黑"/>
          <w:b/>
          <w:bCs/>
          <w:color w:val="000000" w:themeColor="text1"/>
          <w:sz w:val="24"/>
          <w:szCs w:val="24"/>
          <w14:textFill>
            <w14:solidFill>
              <w14:schemeClr w14:val="tx1"/>
            </w14:solidFill>
          </w14:textFill>
        </w:rPr>
        <w:t>十三、其他约定</w:t>
      </w:r>
    </w:p>
    <w:p w14:paraId="09359837">
      <w:pPr>
        <w:spacing w:afterLines="0"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bCs/>
          <w:color w:val="000000" w:themeColor="text1"/>
          <w:sz w:val="24"/>
          <w:szCs w:val="24"/>
          <w14:textFill>
            <w14:solidFill>
              <w14:schemeClr w14:val="tx1"/>
            </w14:solidFill>
          </w14:textFill>
        </w:rPr>
        <w:t>1</w:t>
      </w:r>
      <w:r>
        <w:rPr>
          <w:rFonts w:hint="eastAsia" w:ascii="微软雅黑" w:hAnsi="微软雅黑" w:eastAsia="微软雅黑" w:cs="微软雅黑"/>
          <w:b/>
          <w:bCs/>
          <w:color w:val="000000" w:themeColor="text1"/>
          <w:sz w:val="24"/>
          <w:szCs w:val="24"/>
          <w14:textFill>
            <w14:solidFill>
              <w14:schemeClr w14:val="tx1"/>
            </w14:solidFill>
          </w14:textFill>
        </w:rPr>
        <w:t>、</w:t>
      </w:r>
      <w:r>
        <w:rPr>
          <w:rFonts w:hint="eastAsia" w:ascii="微软雅黑" w:hAnsi="微软雅黑" w:eastAsia="微软雅黑" w:cs="微软雅黑"/>
          <w:color w:val="000000" w:themeColor="text1"/>
          <w:sz w:val="24"/>
          <w:szCs w:val="24"/>
          <w14:textFill>
            <w14:solidFill>
              <w14:schemeClr w14:val="tx1"/>
            </w14:solidFill>
          </w14:textFill>
        </w:rPr>
        <w:t>凡因本合同引起的或与本合同有关的任何争议，均提交</w:t>
      </w:r>
      <w:r>
        <w:rPr>
          <w:rFonts w:hint="eastAsia" w:ascii="微软雅黑" w:hAnsi="微软雅黑" w:eastAsia="微软雅黑" w:cs="微软雅黑"/>
          <w:color w:val="000000" w:themeColor="text1"/>
          <w:sz w:val="24"/>
          <w:szCs w:val="24"/>
          <w:lang w:eastAsia="zh-CN"/>
          <w14:textFill>
            <w14:solidFill>
              <w14:schemeClr w14:val="tx1"/>
            </w14:solidFill>
          </w14:textFill>
        </w:rPr>
        <w:t>蚌埠</w:t>
      </w:r>
      <w:r>
        <w:rPr>
          <w:rFonts w:hint="eastAsia" w:ascii="微软雅黑" w:hAnsi="微软雅黑" w:eastAsia="微软雅黑" w:cs="微软雅黑"/>
          <w:color w:val="000000" w:themeColor="text1"/>
          <w:sz w:val="24"/>
          <w:szCs w:val="24"/>
          <w14:textFill>
            <w14:solidFill>
              <w14:schemeClr w14:val="tx1"/>
            </w14:solidFill>
          </w14:textFill>
        </w:rPr>
        <w:t>仲裁委员会，按照该会的仲裁规则进行仲裁。仲裁裁决是终局的，对双方均有约束力。。</w:t>
      </w:r>
    </w:p>
    <w:p w14:paraId="0B157CB0">
      <w:pPr>
        <w:spacing w:afterLines="0"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bCs/>
          <w:color w:val="000000" w:themeColor="text1"/>
          <w:sz w:val="24"/>
          <w:szCs w:val="24"/>
          <w14:textFill>
            <w14:solidFill>
              <w14:schemeClr w14:val="tx1"/>
            </w14:solidFill>
          </w14:textFill>
        </w:rPr>
        <w:t>2</w:t>
      </w:r>
      <w:r>
        <w:rPr>
          <w:rFonts w:hint="eastAsia" w:ascii="微软雅黑" w:hAnsi="微软雅黑" w:eastAsia="微软雅黑" w:cs="微软雅黑"/>
          <w:b/>
          <w:bCs/>
          <w:color w:val="000000" w:themeColor="text1"/>
          <w:sz w:val="24"/>
          <w:szCs w:val="24"/>
          <w14:textFill>
            <w14:solidFill>
              <w14:schemeClr w14:val="tx1"/>
            </w14:solidFill>
          </w14:textFill>
        </w:rPr>
        <w:t>、</w:t>
      </w:r>
      <w:r>
        <w:rPr>
          <w:rFonts w:hint="eastAsia" w:ascii="微软雅黑" w:hAnsi="微软雅黑" w:eastAsia="微软雅黑" w:cs="微软雅黑"/>
          <w:color w:val="000000" w:themeColor="text1"/>
          <w:sz w:val="24"/>
          <w:szCs w:val="24"/>
          <w14:textFill>
            <w14:solidFill>
              <w14:schemeClr w14:val="tx1"/>
            </w14:solidFill>
          </w14:textFill>
        </w:rPr>
        <w:t>合同未尽事项，双方协商补充，补充协议与本合同有同等法律效力。</w:t>
      </w:r>
    </w:p>
    <w:p w14:paraId="45BFDA9E">
      <w:pPr>
        <w:spacing w:afterLines="0"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3、本合同一式</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份，甲方持</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份，乙方持</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份，具有同等法律效力，经双方代表签字并加盖公章生效。</w:t>
      </w:r>
    </w:p>
    <w:p w14:paraId="59F3DA9C">
      <w:pPr>
        <w:spacing w:afterLines="0"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bCs/>
          <w:color w:val="000000" w:themeColor="text1"/>
          <w:sz w:val="24"/>
          <w:szCs w:val="24"/>
          <w14:textFill>
            <w14:solidFill>
              <w14:schemeClr w14:val="tx1"/>
            </w14:solidFill>
          </w14:textFill>
        </w:rPr>
        <w:t>4、</w:t>
      </w: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送达地址以及送达条款</w:t>
      </w:r>
    </w:p>
    <w:p w14:paraId="520F039B">
      <w:pPr>
        <w:spacing w:afterLines="0"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（1）送达地址以及方式</w:t>
      </w:r>
    </w:p>
    <w:p w14:paraId="7EF79F25">
      <w:pPr>
        <w:spacing w:afterLines="0"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送达地址</w:t>
      </w:r>
    </w:p>
    <w:p w14:paraId="68D26AA7">
      <w:pPr>
        <w:spacing w:afterLines="0"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甲方确认送达地址如下：</w:t>
      </w:r>
    </w:p>
    <w:p w14:paraId="4D6EC54A">
      <w:pPr>
        <w:spacing w:afterLines="0"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地址：    省    市    区/县    路    号，</w:t>
      </w:r>
    </w:p>
    <w:p w14:paraId="0A99FE8D">
      <w:pPr>
        <w:spacing w:afterLines="0"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邮编：            ，</w:t>
      </w:r>
    </w:p>
    <w:p w14:paraId="787A9F93">
      <w:pPr>
        <w:spacing w:afterLines="0"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联系人：      ，</w:t>
      </w:r>
    </w:p>
    <w:p w14:paraId="6B0F4887">
      <w:pPr>
        <w:spacing w:afterLines="0"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联系电话：      -            。</w:t>
      </w:r>
    </w:p>
    <w:p w14:paraId="7F8D4B42">
      <w:pPr>
        <w:spacing w:afterLines="0"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甲方电子送达方式如下：</w:t>
      </w:r>
    </w:p>
    <w:p w14:paraId="613007D8">
      <w:pPr>
        <w:spacing w:afterLines="0"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 xml:space="preserve">手机短信：                  </w:t>
      </w:r>
    </w:p>
    <w:p w14:paraId="2F865498">
      <w:pPr>
        <w:spacing w:afterLines="0"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 xml:space="preserve">传真：      -            </w:t>
      </w:r>
    </w:p>
    <w:p w14:paraId="32AE86B9">
      <w:pPr>
        <w:spacing w:afterLines="0"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 xml:space="preserve">即时通讯账号（微信号）：                  </w:t>
      </w:r>
    </w:p>
    <w:p w14:paraId="681245B3">
      <w:pPr>
        <w:spacing w:afterLines="0"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电子邮箱：            。</w:t>
      </w:r>
    </w:p>
    <w:p w14:paraId="4035FBC2">
      <w:pPr>
        <w:spacing w:afterLines="0"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p>
    <w:p w14:paraId="64BF29DA">
      <w:pPr>
        <w:spacing w:afterLines="0"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乙方确认送达地址如下：</w:t>
      </w:r>
    </w:p>
    <w:p w14:paraId="1A154DEB">
      <w:pPr>
        <w:spacing w:afterLines="0"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地址：    省    市    区/县    路    号，</w:t>
      </w:r>
    </w:p>
    <w:p w14:paraId="73151830">
      <w:pPr>
        <w:spacing w:afterLines="0"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邮编：            ，</w:t>
      </w:r>
    </w:p>
    <w:p w14:paraId="428FA496">
      <w:pPr>
        <w:spacing w:afterLines="0"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联系人：      ，</w:t>
      </w:r>
    </w:p>
    <w:p w14:paraId="621F15E0">
      <w:pPr>
        <w:spacing w:afterLines="0"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联系电话：      -            。</w:t>
      </w:r>
    </w:p>
    <w:p w14:paraId="4EDBC4DF">
      <w:pPr>
        <w:spacing w:afterLines="0"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乙方电子送达方式如下：</w:t>
      </w:r>
    </w:p>
    <w:p w14:paraId="72793F32">
      <w:pPr>
        <w:spacing w:afterLines="0"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 xml:space="preserve">手机短信：                  </w:t>
      </w:r>
    </w:p>
    <w:p w14:paraId="1CD1701D">
      <w:pPr>
        <w:spacing w:afterLines="0"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 xml:space="preserve">传真：      -            </w:t>
      </w:r>
    </w:p>
    <w:p w14:paraId="2BAA9DA5">
      <w:pPr>
        <w:spacing w:afterLines="0"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 xml:space="preserve">即时通讯账号（微信号）：                  </w:t>
      </w:r>
    </w:p>
    <w:p w14:paraId="1EB07253">
      <w:pPr>
        <w:spacing w:afterLines="0"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电子邮箱：</w:t>
      </w:r>
    </w:p>
    <w:p w14:paraId="319ED7EF">
      <w:pPr>
        <w:spacing w:afterLines="0"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送达方式</w:t>
      </w:r>
    </w:p>
    <w:p w14:paraId="19E9C069">
      <w:pPr>
        <w:spacing w:afterLines="0"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双方同意，本合同项下的通知、函件、诉讼文书等文件，以下列方式送达对方：</w:t>
      </w:r>
    </w:p>
    <w:p w14:paraId="033EE693">
      <w:pPr>
        <w:spacing w:afterLines="0"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直接送达：将文件送至对方指定的送达地址，视为已送达；</w:t>
      </w:r>
    </w:p>
    <w:p w14:paraId="5F1463FA">
      <w:pPr>
        <w:spacing w:afterLines="0"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邮寄送达：将文件通过挂号信、特快专递等方式寄至对方指定的送达地址，以邮戳日期为准，视为已送达；</w:t>
      </w:r>
    </w:p>
    <w:p w14:paraId="0F8CED00">
      <w:pPr>
        <w:spacing w:afterLines="0"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电子送达：将文件通过电子邮件、短信、微信等方式发送至对方指定的电子邮箱、手机号码等，发送成功即视为已送达。</w:t>
      </w:r>
    </w:p>
    <w:p w14:paraId="129C9F63">
      <w:pPr>
        <w:spacing w:afterLines="0"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（2）送达条款</w:t>
      </w:r>
    </w:p>
    <w:p w14:paraId="449CC9EF">
      <w:pPr>
        <w:spacing w:afterLines="0"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本送达条款适用于合同履行期间及合同纠纷解决过程中的所有文件送达。</w:t>
      </w:r>
    </w:p>
    <w:p w14:paraId="5F903A62">
      <w:pPr>
        <w:spacing w:afterLines="0"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法院、仲裁委员会、合同项下任何一方等主体有权依据本合同约定地址向另一方发出的通知、信件、数据电文等内容，如因包括不限于搬迁、注销、更换地址等接收方原因造成无法送达的，不利后果由接收方自行承担。</w:t>
      </w:r>
    </w:p>
    <w:p w14:paraId="777B9584">
      <w:pPr>
        <w:spacing w:afterLines="0"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双方在合同履行过程中由双方共同明示或默示确认的合同约定外的送达地址和联系方式不影响送达效力。</w:t>
      </w:r>
    </w:p>
    <w:p w14:paraId="26299E83">
      <w:pPr>
        <w:spacing w:afterLines="0"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双方认同电子送达效力，合同履行过程中或法院、仲裁委员会按照法律或适时有效的仲裁规则需要进行电子送达的，内容自进入双方接收系统之日起，视为送达成功。</w:t>
      </w:r>
    </w:p>
    <w:p w14:paraId="23F6B761">
      <w:pPr>
        <w:spacing w:afterLines="0"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双方应当保证本合同约定送达地址以及联系方式为有效地址及联系方式。一方变更送达信息的，应在变更后一日内通知对方，未及时通知的，发送方按照原约定方式送达，视为送达成功。</w:t>
      </w:r>
    </w:p>
    <w:p w14:paraId="71BDDC82">
      <w:pPr>
        <w:spacing w:afterLines="0"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双方发生争议，关于裁判机构的送达文书，接收方存在以下行为之一的，蚌埠仲裁委员会有权依据法律和适时有效的仲裁规则规定进行送达，法律与仲裁规则规定程序完成之日，视为送达成功：</w:t>
      </w:r>
    </w:p>
    <w:p w14:paraId="728BA35F">
      <w:pPr>
        <w:spacing w:afterLines="0"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擅自变更送达地址及信息且未及时通知对方的；</w:t>
      </w:r>
    </w:p>
    <w:p w14:paraId="3ED4968D">
      <w:pPr>
        <w:spacing w:afterLines="0"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送达地址与信息同工商登记信息不一致且未及时更改的；</w:t>
      </w:r>
    </w:p>
    <w:p w14:paraId="26A889BA">
      <w:pPr>
        <w:spacing w:afterLines="0"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故意不接收蚌埠仲裁委员会送达文书的；</w:t>
      </w:r>
    </w:p>
    <w:p w14:paraId="792E0DE9">
      <w:pPr>
        <w:spacing w:afterLines="0"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因接收方过错造成无法正常送达的其他行为。</w:t>
      </w:r>
    </w:p>
    <w:p w14:paraId="2FF87F27">
      <w:pPr>
        <w:spacing w:afterLines="0"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（以下无正文）</w:t>
      </w:r>
    </w:p>
    <w:p w14:paraId="7171FFB4">
      <w:pPr>
        <w:spacing w:afterLines="0" w:line="360" w:lineRule="auto"/>
        <w:ind w:firstLine="480" w:firstLineChars="200"/>
        <w:rPr>
          <w:rFonts w:hint="eastAsia" w:ascii="微软雅黑" w:hAnsi="微软雅黑" w:eastAsia="微软雅黑" w:cs="微软雅黑"/>
          <w:bCs/>
          <w:color w:val="000000" w:themeColor="text1"/>
          <w:sz w:val="24"/>
          <w:szCs w:val="24"/>
          <w14:textFill>
            <w14:solidFill>
              <w14:schemeClr w14:val="tx1"/>
            </w14:solidFill>
          </w14:textFill>
        </w:rPr>
      </w:pPr>
    </w:p>
    <w:p w14:paraId="5E6E4B57">
      <w:pPr>
        <w:spacing w:afterLines="0"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bCs/>
          <w:color w:val="000000" w:themeColor="text1"/>
          <w:sz w:val="24"/>
          <w:szCs w:val="24"/>
          <w14:textFill>
            <w14:solidFill>
              <w14:schemeClr w14:val="tx1"/>
            </w14:solidFill>
          </w14:textFill>
        </w:rPr>
        <w:t>甲方</w:t>
      </w:r>
      <w:r>
        <w:rPr>
          <w:rFonts w:hint="eastAsia" w:ascii="微软雅黑" w:hAnsi="微软雅黑" w:eastAsia="微软雅黑" w:cs="微软雅黑"/>
          <w:color w:val="000000" w:themeColor="text1"/>
          <w:sz w:val="24"/>
          <w:szCs w:val="24"/>
          <w14:textFill>
            <w14:solidFill>
              <w14:schemeClr w14:val="tx1"/>
            </w14:solidFill>
          </w14:textFill>
        </w:rPr>
        <w:t xml:space="preserve">（盖章）：  </w:t>
      </w:r>
    </w:p>
    <w:p w14:paraId="05EA2265">
      <w:pPr>
        <w:spacing w:afterLines="0"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 xml:space="preserve"> </w:t>
      </w:r>
    </w:p>
    <w:p w14:paraId="54700210">
      <w:pPr>
        <w:spacing w:afterLines="0"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法定代表人（签字）：</w:t>
      </w:r>
    </w:p>
    <w:p w14:paraId="3AE70C67">
      <w:pPr>
        <w:spacing w:afterLines="0"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委托代理人（签字）：</w:t>
      </w:r>
    </w:p>
    <w:p w14:paraId="1D991B03">
      <w:pPr>
        <w:spacing w:afterLines="0" w:line="360" w:lineRule="auto"/>
        <w:ind w:firstLine="480" w:firstLineChars="200"/>
        <w:rPr>
          <w:rFonts w:hint="eastAsia" w:ascii="微软雅黑" w:hAnsi="微软雅黑" w:eastAsia="微软雅黑" w:cs="微软雅黑"/>
          <w:bCs/>
          <w:color w:val="000000" w:themeColor="text1"/>
          <w:sz w:val="24"/>
          <w:szCs w:val="24"/>
          <w14:textFill>
            <w14:solidFill>
              <w14:schemeClr w14:val="tx1"/>
            </w14:solidFill>
          </w14:textFill>
        </w:rPr>
      </w:pPr>
    </w:p>
    <w:p w14:paraId="3AD45CA1">
      <w:pPr>
        <w:spacing w:afterLines="0"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bCs/>
          <w:color w:val="000000" w:themeColor="text1"/>
          <w:sz w:val="24"/>
          <w:szCs w:val="24"/>
          <w14:textFill>
            <w14:solidFill>
              <w14:schemeClr w14:val="tx1"/>
            </w14:solidFill>
          </w14:textFill>
        </w:rPr>
        <w:t>乙方</w:t>
      </w:r>
      <w:r>
        <w:rPr>
          <w:rFonts w:hint="eastAsia" w:ascii="微软雅黑" w:hAnsi="微软雅黑" w:eastAsia="微软雅黑" w:cs="微软雅黑"/>
          <w:color w:val="000000" w:themeColor="text1"/>
          <w:sz w:val="24"/>
          <w:szCs w:val="24"/>
          <w14:textFill>
            <w14:solidFill>
              <w14:schemeClr w14:val="tx1"/>
            </w14:solidFill>
          </w14:textFill>
        </w:rPr>
        <w:t xml:space="preserve">（盖章）：  </w:t>
      </w:r>
    </w:p>
    <w:p w14:paraId="6491ECE7">
      <w:pPr>
        <w:spacing w:afterLines="0"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 xml:space="preserve"> </w:t>
      </w:r>
    </w:p>
    <w:p w14:paraId="76D90C45">
      <w:pPr>
        <w:spacing w:afterLines="0"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法定代表人（签字）：</w:t>
      </w:r>
    </w:p>
    <w:p w14:paraId="23FD165F">
      <w:pPr>
        <w:spacing w:afterLines="0"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委托代理人（签字）：</w:t>
      </w:r>
    </w:p>
    <w:p w14:paraId="73540505">
      <w:pPr>
        <w:spacing w:afterLines="0"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p>
    <w:p w14:paraId="7F3C0372">
      <w:pPr>
        <w:spacing w:afterLines="0"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签订时间：</w:t>
      </w:r>
    </w:p>
    <w:p w14:paraId="67A3195C">
      <w:pPr>
        <w:spacing w:afterLines="0" w:line="360" w:lineRule="auto"/>
        <w:ind w:firstLine="480" w:firstLineChars="200"/>
        <w:rPr>
          <w:rFonts w:hint="eastAsia" w:ascii="微软雅黑" w:hAnsi="微软雅黑" w:eastAsia="微软雅黑" w:cs="微软雅黑"/>
          <w:color w:val="000000" w:themeColor="text1"/>
          <w:sz w:val="24"/>
          <w:szCs w:val="24"/>
          <w:lang w:val="en-US" w:eastAsia="zh-CN"/>
          <w14:textFill>
            <w14:solidFill>
              <w14:schemeClr w14:val="tx1"/>
            </w14:solidFill>
          </w14:textFill>
        </w:rPr>
      </w:pPr>
      <w:r>
        <w:rPr>
          <w:rFonts w:hint="eastAsia" w:ascii="微软雅黑" w:hAnsi="微软雅黑" w:eastAsia="微软雅黑" w:cs="微软雅黑"/>
          <w:color w:val="000000" w:themeColor="text1"/>
          <w:sz w:val="24"/>
          <w:szCs w:val="24"/>
          <w:lang w:val="en-US" w:eastAsia="zh-CN"/>
          <w14:textFill>
            <w14:solidFill>
              <w14:schemeClr w14:val="tx1"/>
            </w14:solidFill>
          </w14:textFill>
        </w:rPr>
        <w:t>签订地点：</w:t>
      </w:r>
    </w:p>
    <w:p w14:paraId="698960DA">
      <w:pPr>
        <w:rPr>
          <w:rFonts w:hint="eastAsia" w:ascii="微软雅黑" w:hAnsi="微软雅黑" w:eastAsia="微软雅黑" w:cs="微软雅黑"/>
          <w:color w:val="000000" w:themeColor="text1"/>
          <w:sz w:val="24"/>
          <w:szCs w:val="24"/>
          <w14:textFill>
            <w14:solidFill>
              <w14:schemeClr w14:val="tx1"/>
            </w14:solidFill>
          </w14:textFill>
        </w:rPr>
      </w:pPr>
    </w:p>
    <w:bookmarkEnd w:id="0"/>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3004766"/>
    </w:sdtPr>
    <w:sdtContent>
      <w:sdt>
        <w:sdtPr>
          <w:id w:val="171357217"/>
        </w:sdtPr>
        <w:sdtContent>
          <w:p w14:paraId="7D7807EA">
            <w:pPr>
              <w:pStyle w:val="3"/>
              <w:jc w:val="center"/>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8</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8</w:t>
            </w:r>
            <w:r>
              <w:rPr>
                <w:b/>
                <w:sz w:val="24"/>
                <w:szCs w:val="24"/>
              </w:rPr>
              <w:fldChar w:fldCharType="end"/>
            </w:r>
          </w:p>
        </w:sdtContent>
      </w:sdt>
    </w:sdtContent>
  </w:sdt>
  <w:p w14:paraId="2FB14A3B">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2E833F6"/>
    <w:rsid w:val="3CE72CA9"/>
    <w:rsid w:val="41B33B89"/>
    <w:rsid w:val="52E833F6"/>
    <w:rsid w:val="657745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Plain Text"/>
    <w:basedOn w:val="1"/>
    <w:unhideWhenUsed/>
    <w:qFormat/>
    <w:uiPriority w:val="0"/>
    <w:rPr>
      <w:rFonts w:ascii="宋体" w:hAnsi="Courier New"/>
      <w:szCs w:val="21"/>
    </w:rPr>
  </w:style>
  <w:style w:type="paragraph" w:styleId="3">
    <w:name w:val="footer"/>
    <w:basedOn w:val="1"/>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4914</Words>
  <Characters>4942</Characters>
  <Lines>0</Lines>
  <Paragraphs>0</Paragraphs>
  <TotalTime>1</TotalTime>
  <ScaleCrop>false</ScaleCrop>
  <LinksUpToDate>false</LinksUpToDate>
  <CharactersWithSpaces>5255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2021-05-31T07:38:00Z</dcterms:created>
  <dc:creator>真宇律师</dc:creator>
  <cp:lastModifiedBy>豪</cp:lastModifiedBy>
  <dcterms:modified xsi:type="dcterms:W3CDTF">2026-03-22T07:54:23Z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153179C2841E468088D931ADC7DB7DDD</vt:lpwstr>
  </property>
  <property fmtid="{D5CDD505-2E9C-101B-9397-08002B2CF9AE}" pid="4" name="KSOTemplateDocerSaveRecord">
    <vt:lpwstr>eyJoZGlkIjoiNTg0MzMyNGJiMDEzODc5ODNlMGVjODViOWRkZjg1MDgiLCJ1c2VySWQiOiIxMjc2Mzc3NjgxIn0=</vt:lpwstr>
  </property>
</Properties>
</file>