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2A97A8">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eastAsia" w:ascii="微软雅黑" w:hAnsi="微软雅黑" w:eastAsia="微软雅黑" w:cs="微软雅黑"/>
          <w:b w:val="0"/>
          <w:bCs/>
          <w:sz w:val="24"/>
          <w:szCs w:val="24"/>
          <w:lang w:val="en-US" w:eastAsia="zh-CN"/>
        </w:rPr>
      </w:pPr>
      <w:bookmarkStart w:id="0" w:name="_GoBack"/>
    </w:p>
    <w:p w14:paraId="6D2CC32B">
      <w:pPr>
        <w:keepNext w:val="0"/>
        <w:keepLines w:val="0"/>
        <w:pageBreakBefore w:val="0"/>
        <w:widowControl/>
        <w:kinsoku/>
        <w:wordWrap/>
        <w:overflowPunct/>
        <w:topLinePunct w:val="0"/>
        <w:autoSpaceDE/>
        <w:autoSpaceDN/>
        <w:bidi w:val="0"/>
        <w:adjustRightInd/>
        <w:snapToGrid/>
        <w:spacing w:after="0" w:line="360" w:lineRule="auto"/>
        <w:jc w:val="center"/>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委</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托</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经</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营</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管</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理</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协</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议</w:t>
      </w:r>
    </w:p>
    <w:p w14:paraId="3888914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bCs/>
          <w:sz w:val="24"/>
          <w:szCs w:val="24"/>
        </w:rPr>
      </w:pPr>
    </w:p>
    <w:p w14:paraId="1746F11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甲方（委托方）：</w:t>
      </w:r>
    </w:p>
    <w:p w14:paraId="5BEE02F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法定代表人：</w:t>
      </w:r>
    </w:p>
    <w:p w14:paraId="77F31D0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统一社会信用代码：</w:t>
      </w:r>
    </w:p>
    <w:p w14:paraId="44B6E9B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bCs/>
          <w:sz w:val="24"/>
          <w:szCs w:val="24"/>
        </w:rPr>
      </w:pPr>
    </w:p>
    <w:p w14:paraId="359DC56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乙方（受托方）：</w:t>
      </w:r>
    </w:p>
    <w:p w14:paraId="5385A9C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负责人：</w:t>
      </w:r>
    </w:p>
    <w:p w14:paraId="27A7B5A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统一社会信用代码：</w:t>
      </w:r>
    </w:p>
    <w:p w14:paraId="4452522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p>
    <w:p w14:paraId="2BDD2EB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为了保障国有资产的保值、增值，使国有资产能够通过市场方式体现其价值，根据《中华人民共和国</w:t>
      </w:r>
      <w:r>
        <w:rPr>
          <w:rFonts w:hint="eastAsia" w:ascii="微软雅黑" w:hAnsi="微软雅黑" w:eastAsia="微软雅黑" w:cs="微软雅黑"/>
          <w:sz w:val="24"/>
          <w:szCs w:val="24"/>
          <w:lang w:val="en-US" w:eastAsia="zh-Hans"/>
        </w:rPr>
        <w:t>民法典</w:t>
      </w:r>
      <w:r>
        <w:rPr>
          <w:rFonts w:hint="eastAsia" w:ascii="微软雅黑" w:hAnsi="微软雅黑" w:eastAsia="微软雅黑" w:cs="微软雅黑"/>
          <w:sz w:val="24"/>
          <w:szCs w:val="24"/>
        </w:rPr>
        <w:t>》、《中华人民共和国企业国有资产法》及相关法律、法规的规定，甲、乙双方本着自愿、平等、公平、诚实信用原则，就甲方委托乙方经营管理资产事宜达成如下协议：</w:t>
      </w:r>
    </w:p>
    <w:p w14:paraId="067E94A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一、委托管理标的物</w:t>
      </w:r>
    </w:p>
    <w:p w14:paraId="045D177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1.甲方产权范围内需对外租赁的房产。详见本协议附件清单。</w:t>
      </w:r>
    </w:p>
    <w:p w14:paraId="181CFD5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甲方在本协议期限内新增、新建的，需对外租赁的增量资源及房产。发生时以甲方书面通知为准。</w:t>
      </w:r>
    </w:p>
    <w:p w14:paraId="6FC3F2D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p>
    <w:p w14:paraId="6DDE725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二、委托管理期限</w:t>
      </w:r>
    </w:p>
    <w:p w14:paraId="6349300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本协议有效期限自【  】年【  】月【  】日起至【  】年【  】月【  】日止。</w:t>
      </w:r>
    </w:p>
    <w:p w14:paraId="4DD399D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委托管理期限内乙方与承租人签订租赁协议时，租赁期限不能超过法律法规、国有资产管理规定以及甲方规定的租赁期限。</w:t>
      </w:r>
    </w:p>
    <w:p w14:paraId="095964E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p>
    <w:p w14:paraId="53C01C4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三、财务核算管理方式</w:t>
      </w:r>
    </w:p>
    <w:p w14:paraId="629268F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委托管理期间，委托管理的资产根据《会计法》及《会计基础工作规范》及甲方财务核算制度等相关规定执行，由乙方财务代为管理及核算，各项税金由甲方代收代缴，报表并入甲方报表。</w:t>
      </w:r>
    </w:p>
    <w:p w14:paraId="5D21F4A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p>
    <w:p w14:paraId="6E9C935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四、委托经营管理费及支付方式</w:t>
      </w:r>
    </w:p>
    <w:p w14:paraId="4C33AD4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 xml:space="preserve"> 除</w:t>
      </w:r>
      <w:r>
        <w:rPr>
          <w:rFonts w:hint="eastAsia" w:ascii="微软雅黑" w:hAnsi="微软雅黑" w:eastAsia="微软雅黑" w:cs="微软雅黑"/>
          <w:sz w:val="24"/>
          <w:szCs w:val="24"/>
          <w:lang w:eastAsia="zh-CN"/>
        </w:rPr>
        <w:t>第四条第</w:t>
      </w:r>
      <w:r>
        <w:rPr>
          <w:rFonts w:hint="eastAsia" w:ascii="微软雅黑" w:hAnsi="微软雅黑" w:eastAsia="微软雅黑" w:cs="微软雅黑"/>
          <w:sz w:val="24"/>
          <w:szCs w:val="24"/>
          <w:lang w:val="en-US" w:eastAsia="zh-CN"/>
        </w:rPr>
        <w:t>2款</w:t>
      </w:r>
      <w:r>
        <w:rPr>
          <w:rFonts w:hint="eastAsia" w:ascii="微软雅黑" w:hAnsi="微软雅黑" w:eastAsia="微软雅黑" w:cs="微软雅黑"/>
          <w:sz w:val="24"/>
          <w:szCs w:val="24"/>
        </w:rPr>
        <w:t>委托经营管理费外，甲方委托乙方进行经营管理的房产，全部收益归甲方所有，甲方承担标的物的维修、税收、办证、管理等一切成本，标的物委托经营管理期间取得的收益减去上述成本后作为甲方净收入，乙方按月支付，次月3日前支付上月收入。</w:t>
      </w:r>
    </w:p>
    <w:p w14:paraId="3250D33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 xml:space="preserve"> 甲方以委托管理标的物经营期间净收入的【  】%作为委托经营管理费支付给乙方。委托经营管理费按年支付，于每年12月底由甲方核算后支付给乙方，乙方收款前应当向甲方开具等额的增值税专用发票。</w:t>
      </w:r>
    </w:p>
    <w:p w14:paraId="186F8B0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rPr>
        <w:t>甲方收款账户信息：</w:t>
      </w:r>
    </w:p>
    <w:p w14:paraId="215BB3B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开户名</w:t>
      </w:r>
      <w:r>
        <w:rPr>
          <w:rFonts w:hint="eastAsia" w:ascii="微软雅黑" w:hAnsi="微软雅黑" w:eastAsia="微软雅黑" w:cs="微软雅黑"/>
          <w:sz w:val="24"/>
          <w:szCs w:val="24"/>
        </w:rPr>
        <w:t>：</w:t>
      </w:r>
    </w:p>
    <w:p w14:paraId="193A727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08C787A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p>
    <w:p w14:paraId="02848FE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乙方收款账户信息：</w:t>
      </w:r>
    </w:p>
    <w:p w14:paraId="6E49EDC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开户名</w:t>
      </w:r>
      <w:r>
        <w:rPr>
          <w:rFonts w:hint="eastAsia" w:ascii="微软雅黑" w:hAnsi="微软雅黑" w:eastAsia="微软雅黑" w:cs="微软雅黑"/>
          <w:sz w:val="24"/>
          <w:szCs w:val="24"/>
        </w:rPr>
        <w:t>：</w:t>
      </w:r>
    </w:p>
    <w:p w14:paraId="1A40B1D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742D2FA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银行</w:t>
      </w:r>
      <w:r>
        <w:rPr>
          <w:rFonts w:hint="eastAsia" w:ascii="微软雅黑" w:hAnsi="微软雅黑" w:eastAsia="微软雅黑" w:cs="微软雅黑"/>
          <w:sz w:val="24"/>
          <w:szCs w:val="24"/>
        </w:rPr>
        <w:t>账号：</w:t>
      </w:r>
    </w:p>
    <w:p w14:paraId="4D33E68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p>
    <w:p w14:paraId="4EAC1E7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五、甲方权利义务</w:t>
      </w:r>
    </w:p>
    <w:p w14:paraId="0056C58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甲方有权对乙方经营管理提出建议，有权对乙方的经营管理情况随时进行监督、检查。</w:t>
      </w:r>
    </w:p>
    <w:p w14:paraId="03362E6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乙方须严格按照甲方要求进行经营。如甲方发现乙方怠于经营管理，有权收回相关资产，解除本协议。</w:t>
      </w:r>
    </w:p>
    <w:p w14:paraId="035CAF6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rPr>
        <w:t>甲方对未取得土地使用证、房屋产权证等权属证明的租赁资源应及时办理相关权属证件。</w:t>
      </w:r>
    </w:p>
    <w:p w14:paraId="173A78C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rPr>
        <w:t>由甲方占有使用的标的物，甲方应及时对标的物进行修缮、保养，对乙方上报的有损坏的、有安全隐患的标的物进行及时的修缮，排除安全、消防隐患。移交乙方占有的标的物由乙方负责修缮、保养，修缮、保养费作为经营管理成本。</w:t>
      </w:r>
    </w:p>
    <w:p w14:paraId="485CE80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p>
    <w:p w14:paraId="1267E05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六、乙方权利义务</w:t>
      </w:r>
    </w:p>
    <w:p w14:paraId="7DC86C7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乙方按照国有资产租赁相关法律法规对委托管理标的物进行评估、招租、对外签订合同。乙方应当建立完整的合同管理台账，确保甲方收益稳定，确保国有资产保值、增值。因管理不善导致的国有资产流失，乙方承担全部责任。</w:t>
      </w:r>
    </w:p>
    <w:p w14:paraId="62FA666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乙方应对标的物建立检查机制，对标的物的安全、消防进行及时的检查，对存在隐患的标的物应及时上报甲方。因未及时将隐患上报甲方而造成的安全事故乙方承担全部责任。</w:t>
      </w:r>
    </w:p>
    <w:p w14:paraId="2D9CB90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rPr>
        <w:t>乙方应当遵守国家、当地政府有关国有资产管理的相关规定，并按照本协议约定的方式进行管理，不得改变资产用途，如有违反，甲方有权纠正乙方的违规行为，由此产生的损失由乙方承担。</w:t>
      </w:r>
    </w:p>
    <w:p w14:paraId="2E5ACAD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rPr>
        <w:t>本协议履行过程中因政策变化、甲方经营方针调整等原因甲方需要收回委托管理标的物时，乙方积极配合甲方移交标的物及相关材料，处理好对外签订的协议。</w:t>
      </w:r>
    </w:p>
    <w:p w14:paraId="5CC6EE3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rPr>
        <w:t>经营管理标的物的方式仅限于租赁，乙方不得改变经营管理方式，不得利用管理资产对外抵押、融资等。</w:t>
      </w:r>
    </w:p>
    <w:p w14:paraId="17ABBF8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6.</w:t>
      </w:r>
      <w:r>
        <w:rPr>
          <w:rFonts w:hint="eastAsia" w:ascii="微软雅黑" w:hAnsi="微软雅黑" w:eastAsia="微软雅黑" w:cs="微软雅黑"/>
          <w:sz w:val="24"/>
          <w:szCs w:val="24"/>
        </w:rPr>
        <w:t>非经甲方书面同意，乙方不得将委托经营范围内的标的物转交第三方管理经营。</w:t>
      </w:r>
    </w:p>
    <w:p w14:paraId="02CE6F5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7.</w:t>
      </w:r>
      <w:r>
        <w:rPr>
          <w:rFonts w:hint="eastAsia" w:ascii="微软雅黑" w:hAnsi="微软雅黑" w:eastAsia="微软雅黑" w:cs="微软雅黑"/>
          <w:sz w:val="24"/>
          <w:szCs w:val="24"/>
        </w:rPr>
        <w:t>乙方对经营管理范围内的标的物进行对外出租的，应对承租人进行管理，严格控制转租、分租的发生。</w:t>
      </w:r>
    </w:p>
    <w:p w14:paraId="0741431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p>
    <w:p w14:paraId="223CA7E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七、免责条款</w:t>
      </w:r>
    </w:p>
    <w:p w14:paraId="5521177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3DA06FB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当出现双方在订立合同时无法预见的、不属于商业风险的重大变化，双方不能协商变更合同导致合同解除的，双方互不承担违约责任。</w:t>
      </w:r>
    </w:p>
    <w:p w14:paraId="79706CB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p>
    <w:p w14:paraId="668A9DB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八、违约责任</w:t>
      </w:r>
    </w:p>
    <w:p w14:paraId="58BC79D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本协议履行期间，若乙方超越委托经营权限或经营过程中违反本协议其他约定或法律法规规定，导致国有资产损失的，甲方有权随时收回委托管理标的物，书面通知乙方解除本协议（协议自通知送达之日起解除），并要求乙方承担损失赔偿责任。</w:t>
      </w:r>
    </w:p>
    <w:p w14:paraId="02A07AE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本协议签订后，任何一方因单方面解除协议造成守约方损失的，需承担违约责任，并承担守约方全部损失。</w:t>
      </w:r>
    </w:p>
    <w:p w14:paraId="599CF1E8">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p>
    <w:p w14:paraId="56C102A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九、其他约定</w:t>
      </w:r>
    </w:p>
    <w:p w14:paraId="089CBB3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本协议一式肆份，甲、乙方各执两份，经双方法定代表人或委托代理人签字并加盖公司公章后生效。</w:t>
      </w:r>
    </w:p>
    <w:p w14:paraId="2DA7AB4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凡因本合同引起的或与本合同有关的任何争议，均提交</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仲裁委员会，按照该会的仲裁规则进行仲裁。仲裁裁决是终局的，对双方均有约束力。</w:t>
      </w:r>
    </w:p>
    <w:p w14:paraId="685201D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rPr>
        <w:t>本协议如有未尽事宜，双方可协商签订补充协议，补充协议与本协议具有同等法律效力。</w:t>
      </w:r>
    </w:p>
    <w:p w14:paraId="4EF6F50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rPr>
        <w:t>送达地址以及送达条款</w:t>
      </w:r>
    </w:p>
    <w:p w14:paraId="3ADB1A7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（1）送达地址以及方式</w:t>
      </w:r>
    </w:p>
    <w:p w14:paraId="27D058A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送达地址</w:t>
      </w:r>
    </w:p>
    <w:p w14:paraId="6038AAE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甲方确认送达地址如下：</w:t>
      </w:r>
    </w:p>
    <w:p w14:paraId="5CC6C87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015924B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34C534A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69837EE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2FCF471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0D58258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480E526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55D78DC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7304620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473CD92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p>
    <w:p w14:paraId="6106234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乙方确认送达地址如下：</w:t>
      </w:r>
    </w:p>
    <w:p w14:paraId="6D9F687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1FBE139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1ACEB06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E65CD9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757BDEA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65418CF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199F09B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6E52709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7BED8D9E">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3FDB865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送达方式</w:t>
      </w:r>
    </w:p>
    <w:p w14:paraId="4ED88A2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双方同意，本合同项下的通知、函件、诉讼文书等文件，以下列方式送达对方：</w:t>
      </w:r>
    </w:p>
    <w:p w14:paraId="5FF197B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直接送达：将文件送至对方指定的送达地址，视为已送达；</w:t>
      </w:r>
    </w:p>
    <w:p w14:paraId="2C55C32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576F2C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2486D1E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（2）送达条款</w:t>
      </w:r>
    </w:p>
    <w:p w14:paraId="678D9649">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本送达条款适用于合同履行期间及合同纠纷解决过程中的所有文件送达。</w:t>
      </w:r>
    </w:p>
    <w:p w14:paraId="12E07C56">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E77515F">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7223483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2D08B36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双方应当保证本合同约定送达地址以及联系方式为有效地址及联系方式。一方变更送达信息的，应在变更后一日内通知对方，未及时通知的，发送方按照原约定方式送达，视为送达成功。</w:t>
      </w:r>
    </w:p>
    <w:p w14:paraId="471F0DB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3ACFAC1D">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擅自变更送达地址及信息且未及时通知对方的；</w:t>
      </w:r>
    </w:p>
    <w:p w14:paraId="153A3835">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送达地址与信息同工商登记信息不一致且未及时更改的；</w:t>
      </w:r>
    </w:p>
    <w:p w14:paraId="2E355FAA">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p>
    <w:p w14:paraId="3C6BF44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因接收方过错造成无法正常送达的其他行为。</w:t>
      </w:r>
    </w:p>
    <w:p w14:paraId="236DDCD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（以下无正文）</w:t>
      </w:r>
    </w:p>
    <w:p w14:paraId="1110964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附件《委托管理标的物明细》</w:t>
      </w:r>
    </w:p>
    <w:p w14:paraId="509CC46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p>
    <w:p w14:paraId="546B698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甲方：              </w:t>
      </w:r>
    </w:p>
    <w:p w14:paraId="767C31B4">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法定代表人：      </w:t>
      </w:r>
    </w:p>
    <w:p w14:paraId="0AB00D12">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委托代理人：</w:t>
      </w:r>
    </w:p>
    <w:p w14:paraId="533D7C6B">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p>
    <w:p w14:paraId="7C60C58C">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p>
    <w:p w14:paraId="05F0DF41">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法定代表人：      </w:t>
      </w:r>
    </w:p>
    <w:p w14:paraId="068D1B80">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委托代理人：</w:t>
      </w:r>
    </w:p>
    <w:p w14:paraId="2FCA9F23">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p>
    <w:p w14:paraId="483D5E67">
      <w:pPr>
        <w:keepNext w:val="0"/>
        <w:keepLines w:val="0"/>
        <w:pageBreakBefore w:val="0"/>
        <w:widowControl/>
        <w:kinsoku/>
        <w:wordWrap/>
        <w:overflowPunct/>
        <w:topLinePunct w:val="0"/>
        <w:autoSpaceDE/>
        <w:autoSpaceDN/>
        <w:bidi w:val="0"/>
        <w:adjustRightInd/>
        <w:snapToGrid/>
        <w:spacing w:after="0" w:line="360" w:lineRule="auto"/>
        <w:ind w:firstLine="480" w:firstLineChars="200"/>
        <w:jc w:val="both"/>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签订日期：</w:t>
      </w:r>
    </w:p>
    <w:bookmarkEnd w:id="0"/>
    <w:p w14:paraId="2468EE1E">
      <w:pPr>
        <w:keepNext w:val="0"/>
        <w:keepLines w:val="0"/>
        <w:pageBreakBefore w:val="0"/>
        <w:widowControl/>
        <w:kinsoku/>
        <w:wordWrap/>
        <w:overflowPunct/>
        <w:topLinePunct w:val="0"/>
        <w:autoSpaceDE/>
        <w:autoSpaceDN/>
        <w:bidi w:val="0"/>
        <w:adjustRightInd/>
        <w:snapToGrid/>
        <w:spacing w:after="0" w:line="360" w:lineRule="auto"/>
        <w:ind w:firstLine="560" w:firstLineChars="200"/>
        <w:jc w:val="both"/>
        <w:textAlignment w:val="auto"/>
        <w:rPr>
          <w:rFonts w:ascii="楷体" w:hAnsi="楷体" w:eastAsia="楷体" w:cs="楷体"/>
          <w:sz w:val="28"/>
          <w:szCs w:val="28"/>
        </w:rPr>
      </w:pPr>
      <w:r>
        <w:rPr>
          <w:rFonts w:hint="eastAsia" w:ascii="楷体" w:hAnsi="楷体" w:eastAsia="楷体" w:cs="楷体"/>
          <w:sz w:val="28"/>
          <w:szCs w:val="28"/>
        </w:rPr>
        <w:t>签订地点：</w:t>
      </w:r>
    </w:p>
    <w:sectPr>
      <w:footerReference r:id="rId4" w:type="default"/>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CFA26">
    <w:pPr>
      <w:pStyle w:val="4"/>
      <w:jc w:val="center"/>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5C72B761">
                <w:pPr>
                  <w:pStyle w:val="4"/>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t>7</w:t>
                </w:r>
                <w:r>
                  <w:rPr>
                    <w:rFonts w:hint="eastAsia"/>
                  </w:rPr>
                  <w:fldChar w:fldCharType="end"/>
                </w:r>
                <w:r>
                  <w:rPr>
                    <w:rFonts w:hint="eastAsia"/>
                  </w:rPr>
                  <w:t xml:space="preserve"> 页</w:t>
                </w:r>
              </w:p>
            </w:txbxContent>
          </v:textbox>
        </v:shape>
      </w:pict>
    </w:r>
  </w:p>
  <w:p w14:paraId="66A74E69">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NotTrackMoves/>
  <w:documentProtection w:enforcement="0"/>
  <w:defaultTabStop w:val="720"/>
  <w:characterSpacingControl w:val="doNotCompress"/>
  <w:noLineBreaksAfter w:lang="zh-CN" w:val="$([{£¥·‘“〈《「『【〔〖〝﹙﹛﹝＄（．［｛￡￥"/>
  <w:noLineBreaksBefore w:lang="zh-CN" w:val="!%),.:;&gt;?]}¢¨°·ˇˉ―‖’”…‰′″›℃∶、。〃〉》」』】〕〗〞︶︺︾﹀﹄﹚﹜﹞！＂％＇），．：；？］｀｜｝～￠"/>
  <w:hdrShapeDefaults>
    <o:shapelayout v:ext="edit">
      <o:idmap v:ext="edit" data="3,4"/>
    </o:shapelayout>
  </w:hdrShapeDefaults>
  <w:footnotePr>
    <w:footnote w:id="0"/>
    <w:footnote w:id="1"/>
  </w:foot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1D50"/>
    <w:rsid w:val="000B02C9"/>
    <w:rsid w:val="000D1946"/>
    <w:rsid w:val="000E3C52"/>
    <w:rsid w:val="001B4881"/>
    <w:rsid w:val="002F3D0B"/>
    <w:rsid w:val="00322D67"/>
    <w:rsid w:val="00323B43"/>
    <w:rsid w:val="00394ABC"/>
    <w:rsid w:val="003D37D8"/>
    <w:rsid w:val="003F6905"/>
    <w:rsid w:val="00426133"/>
    <w:rsid w:val="004358AB"/>
    <w:rsid w:val="004809F9"/>
    <w:rsid w:val="00487C64"/>
    <w:rsid w:val="005B6CCC"/>
    <w:rsid w:val="006361A9"/>
    <w:rsid w:val="00702395"/>
    <w:rsid w:val="007552AE"/>
    <w:rsid w:val="00767411"/>
    <w:rsid w:val="00794864"/>
    <w:rsid w:val="007C02D0"/>
    <w:rsid w:val="00821453"/>
    <w:rsid w:val="00856E43"/>
    <w:rsid w:val="008B64A1"/>
    <w:rsid w:val="008B7726"/>
    <w:rsid w:val="0090300F"/>
    <w:rsid w:val="009150EC"/>
    <w:rsid w:val="00A25A8C"/>
    <w:rsid w:val="00A60FF6"/>
    <w:rsid w:val="00AD64A8"/>
    <w:rsid w:val="00B2273A"/>
    <w:rsid w:val="00B448CD"/>
    <w:rsid w:val="00D22412"/>
    <w:rsid w:val="00D31D50"/>
    <w:rsid w:val="00D85B88"/>
    <w:rsid w:val="00DD7EF4"/>
    <w:rsid w:val="00EC73DD"/>
    <w:rsid w:val="00EF6139"/>
    <w:rsid w:val="00F23288"/>
    <w:rsid w:val="02EA3CD8"/>
    <w:rsid w:val="05BC43CA"/>
    <w:rsid w:val="114F1250"/>
    <w:rsid w:val="16C90F89"/>
    <w:rsid w:val="21B269DE"/>
    <w:rsid w:val="2896749E"/>
    <w:rsid w:val="2ADD7E2C"/>
    <w:rsid w:val="2CE46994"/>
    <w:rsid w:val="31597E51"/>
    <w:rsid w:val="336921CA"/>
    <w:rsid w:val="33CE28A8"/>
    <w:rsid w:val="34A321D9"/>
    <w:rsid w:val="36904163"/>
    <w:rsid w:val="3E75781C"/>
    <w:rsid w:val="46C25E52"/>
    <w:rsid w:val="48192A7D"/>
    <w:rsid w:val="4C971054"/>
    <w:rsid w:val="4D186D5F"/>
    <w:rsid w:val="4F86570A"/>
    <w:rsid w:val="54024035"/>
    <w:rsid w:val="5BBB4915"/>
    <w:rsid w:val="5F450A59"/>
    <w:rsid w:val="62CB597E"/>
    <w:rsid w:val="64FF48D2"/>
    <w:rsid w:val="68E43B1C"/>
    <w:rsid w:val="6CF720A9"/>
    <w:rsid w:val="704B1D90"/>
    <w:rsid w:val="75B15EA5"/>
    <w:rsid w:val="7F5841AA"/>
    <w:rsid w:val="7F8518FC"/>
    <w:rsid w:val="D67DCD5E"/>
    <w:rsid w:val="E52FD14A"/>
    <w:rsid w:val="EBB7C3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3"/>
    <w:semiHidden/>
    <w:qFormat/>
    <w:uiPriority w:val="99"/>
  </w:style>
  <w:style w:type="paragraph" w:styleId="3">
    <w:name w:val="Balloon Text"/>
    <w:basedOn w:val="1"/>
    <w:link w:val="12"/>
    <w:semiHidden/>
    <w:qFormat/>
    <w:uiPriority w:val="99"/>
    <w:pPr>
      <w:spacing w:after="0"/>
    </w:pPr>
    <w:rPr>
      <w:sz w:val="18"/>
      <w:szCs w:val="18"/>
    </w:rPr>
  </w:style>
  <w:style w:type="paragraph" w:styleId="4">
    <w:name w:val="footer"/>
    <w:basedOn w:val="1"/>
    <w:link w:val="10"/>
    <w:qFormat/>
    <w:uiPriority w:val="99"/>
    <w:pPr>
      <w:tabs>
        <w:tab w:val="center" w:pos="4153"/>
        <w:tab w:val="right" w:pos="8306"/>
      </w:tabs>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jc w:val="center"/>
    </w:pPr>
    <w:rPr>
      <w:sz w:val="18"/>
      <w:szCs w:val="18"/>
    </w:rPr>
  </w:style>
  <w:style w:type="paragraph" w:styleId="6">
    <w:name w:val="annotation subject"/>
    <w:basedOn w:val="2"/>
    <w:next w:val="2"/>
    <w:link w:val="14"/>
    <w:semiHidden/>
    <w:qFormat/>
    <w:uiPriority w:val="99"/>
    <w:rPr>
      <w:b/>
      <w:bCs/>
    </w:rPr>
  </w:style>
  <w:style w:type="character" w:styleId="9">
    <w:name w:val="annotation reference"/>
    <w:semiHidden/>
    <w:qFormat/>
    <w:uiPriority w:val="99"/>
    <w:rPr>
      <w:rFonts w:cs="Times New Roman"/>
      <w:sz w:val="21"/>
      <w:szCs w:val="21"/>
    </w:rPr>
  </w:style>
  <w:style w:type="character" w:customStyle="1" w:styleId="10">
    <w:name w:val="页脚 Char"/>
    <w:link w:val="4"/>
    <w:qFormat/>
    <w:locked/>
    <w:uiPriority w:val="99"/>
    <w:rPr>
      <w:rFonts w:ascii="Tahoma" w:hAnsi="Tahoma" w:cs="Times New Roman"/>
      <w:sz w:val="18"/>
      <w:szCs w:val="18"/>
    </w:rPr>
  </w:style>
  <w:style w:type="character" w:customStyle="1" w:styleId="11">
    <w:name w:val="页眉 Char"/>
    <w:link w:val="5"/>
    <w:semiHidden/>
    <w:qFormat/>
    <w:locked/>
    <w:uiPriority w:val="99"/>
    <w:rPr>
      <w:rFonts w:ascii="Tahoma" w:hAnsi="Tahoma" w:cs="Times New Roman"/>
      <w:sz w:val="18"/>
      <w:szCs w:val="18"/>
    </w:rPr>
  </w:style>
  <w:style w:type="character" w:customStyle="1" w:styleId="12">
    <w:name w:val="批注框文本 Char"/>
    <w:link w:val="3"/>
    <w:semiHidden/>
    <w:qFormat/>
    <w:locked/>
    <w:uiPriority w:val="99"/>
    <w:rPr>
      <w:rFonts w:ascii="Tahoma" w:hAnsi="Tahoma" w:cs="Times New Roman"/>
      <w:sz w:val="18"/>
      <w:szCs w:val="18"/>
    </w:rPr>
  </w:style>
  <w:style w:type="character" w:customStyle="1" w:styleId="13">
    <w:name w:val="批注文字 Char"/>
    <w:link w:val="2"/>
    <w:semiHidden/>
    <w:qFormat/>
    <w:locked/>
    <w:uiPriority w:val="99"/>
    <w:rPr>
      <w:rFonts w:ascii="Tahoma" w:hAnsi="Tahoma" w:cs="Times New Roman"/>
      <w:sz w:val="22"/>
      <w:szCs w:val="22"/>
    </w:rPr>
  </w:style>
  <w:style w:type="character" w:customStyle="1" w:styleId="14">
    <w:name w:val="批注主题 Char"/>
    <w:link w:val="6"/>
    <w:semiHidden/>
    <w:qFormat/>
    <w:locked/>
    <w:uiPriority w:val="99"/>
    <w:rPr>
      <w:rFonts w:ascii="Tahoma" w:hAnsi="Tahoma" w:cs="Times New Roman"/>
      <w:b/>
      <w:bCs/>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2838</Words>
  <Characters>2866</Characters>
  <Lines>19</Lines>
  <Paragraphs>5</Paragraphs>
  <TotalTime>1</TotalTime>
  <ScaleCrop>false</ScaleCrop>
  <LinksUpToDate>false</LinksUpToDate>
  <CharactersWithSpaces>3151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云南真宇律师事务所</dc:creator>
  <cp:lastModifiedBy>豪</cp:lastModifiedBy>
  <cp:lastPrinted>2015-06-06T05:34:00Z</cp:lastPrinted>
  <dcterms:modified xsi:type="dcterms:W3CDTF">2026-03-22T07:56:29Z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E00648A31AA541CDABEE52EA28578C8F</vt:lpwstr>
  </property>
  <property fmtid="{D5CDD505-2E9C-101B-9397-08002B2CF9AE}" pid="4" name="KSOTemplateDocerSaveRecord">
    <vt:lpwstr>eyJoZGlkIjoiNTg0MzMyNGJiMDEzODc5ODNlMGVjODViOWRkZjg1MDgiLCJ1c2VySWQiOiIxMjc2Mzc3NjgxIn0=</vt:lpwstr>
  </property>
</Properties>
</file>