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88F62">
      <w:pPr>
        <w:wordWrap w:val="0"/>
        <w:spacing w:line="360" w:lineRule="auto"/>
        <w:ind w:firstLine="10206" w:firstLineChars="2835"/>
        <w:jc w:val="right"/>
        <w:rPr>
          <w:rFonts w:hint="eastAsia" w:ascii="微软雅黑" w:hAnsi="微软雅黑" w:eastAsia="微软雅黑" w:cs="微软雅黑"/>
          <w:sz w:val="36"/>
          <w:szCs w:val="36"/>
          <w:u w:val="single"/>
        </w:rPr>
      </w:pPr>
      <w:bookmarkStart w:id="0" w:name="_GoBack"/>
      <w:r>
        <w:rPr>
          <w:rFonts w:hint="eastAsia" w:ascii="微软雅黑" w:hAnsi="微软雅黑" w:eastAsia="微软雅黑" w:cs="微软雅黑"/>
          <w:sz w:val="36"/>
          <w:szCs w:val="36"/>
        </w:rPr>
        <w:t>合同编号：</w:t>
      </w:r>
      <w:r>
        <w:rPr>
          <w:rFonts w:hint="eastAsia" w:ascii="微软雅黑" w:hAnsi="微软雅黑" w:eastAsia="微软雅黑" w:cs="微软雅黑"/>
          <w:sz w:val="36"/>
          <w:szCs w:val="36"/>
          <w:u w:val="single"/>
        </w:rPr>
        <w:t xml:space="preserve">             </w:t>
      </w:r>
    </w:p>
    <w:p w14:paraId="49E254AB">
      <w:pPr>
        <w:pStyle w:val="2"/>
        <w:rPr>
          <w:rFonts w:hint="eastAsia" w:ascii="微软雅黑" w:hAnsi="微软雅黑" w:eastAsia="微软雅黑" w:cs="微软雅黑"/>
          <w:sz w:val="36"/>
          <w:szCs w:val="36"/>
        </w:rPr>
      </w:pPr>
      <w:r>
        <w:rPr>
          <w:rFonts w:hint="eastAsia" w:ascii="微软雅黑" w:hAnsi="微软雅黑" w:eastAsia="微软雅黑" w:cs="微软雅黑"/>
          <w:sz w:val="36"/>
          <w:szCs w:val="36"/>
        </w:rPr>
        <w:t>导游托管</w:t>
      </w:r>
      <w:r>
        <w:rPr>
          <w:rFonts w:hint="eastAsia" w:ascii="微软雅黑" w:hAnsi="微软雅黑" w:eastAsia="微软雅黑" w:cs="微软雅黑"/>
          <w:sz w:val="36"/>
          <w:szCs w:val="36"/>
        </w:rPr>
        <w:t>合同</w:t>
      </w:r>
    </w:p>
    <w:p w14:paraId="17BCBB45">
      <w:pPr>
        <w:spacing w:after="312" w:afterLines="100" w:line="360" w:lineRule="auto"/>
        <w:jc w:val="center"/>
        <w:rPr>
          <w:rFonts w:hint="eastAsia" w:ascii="微软雅黑" w:hAnsi="微软雅黑" w:eastAsia="微软雅黑" w:cs="微软雅黑"/>
          <w:sz w:val="36"/>
          <w:szCs w:val="36"/>
        </w:rPr>
      </w:pPr>
      <w:r>
        <w:rPr>
          <w:rFonts w:hint="eastAsia" w:ascii="微软雅黑" w:hAnsi="微软雅黑" w:eastAsia="微软雅黑" w:cs="微软雅黑"/>
          <w:sz w:val="36"/>
          <w:szCs w:val="36"/>
        </w:rPr>
        <w:t>（适用于</w:t>
      </w:r>
      <w:r>
        <w:rPr>
          <w:rFonts w:hint="eastAsia" w:ascii="微软雅黑" w:hAnsi="微软雅黑" w:eastAsia="微软雅黑" w:cs="微软雅黑"/>
          <w:sz w:val="36"/>
          <w:szCs w:val="36"/>
        </w:rPr>
        <w:t>专职、兼职导游员委托管理</w:t>
      </w:r>
      <w:r>
        <w:rPr>
          <w:rFonts w:hint="eastAsia" w:ascii="微软雅黑" w:hAnsi="微软雅黑" w:eastAsia="微软雅黑" w:cs="微软雅黑"/>
          <w:sz w:val="36"/>
          <w:szCs w:val="36"/>
        </w:rPr>
        <w:t>类合同）</w:t>
      </w:r>
    </w:p>
    <w:bookmarkEnd w:id="0"/>
    <w:p w14:paraId="10A3A075">
      <w:pPr>
        <w:tabs>
          <w:tab w:val="left" w:pos="3060"/>
        </w:tabs>
        <w:spacing w:before="312" w:beforeLines="100" w:after="312" w:afterLines="100" w:line="360" w:lineRule="auto"/>
        <w:rPr>
          <w:rFonts w:hint="eastAsia" w:ascii="微软雅黑" w:hAnsi="微软雅黑" w:eastAsia="微软雅黑" w:cs="微软雅黑"/>
          <w:b/>
          <w:sz w:val="24"/>
          <w:szCs w:val="24"/>
          <w:u w:val="single"/>
        </w:rPr>
      </w:pPr>
      <w:r>
        <w:rPr>
          <w:rFonts w:hint="eastAsia" w:ascii="微软雅黑" w:hAnsi="微软雅黑" w:eastAsia="微软雅黑" w:cs="微软雅黑"/>
          <w:b/>
          <w:sz w:val="24"/>
          <w:szCs w:val="24"/>
        </w:rPr>
        <w:t>甲方（</w:t>
      </w:r>
      <w:r>
        <w:rPr>
          <w:rFonts w:hint="eastAsia" w:ascii="微软雅黑" w:hAnsi="微软雅黑" w:eastAsia="微软雅黑" w:cs="微软雅黑"/>
          <w:b/>
          <w:sz w:val="24"/>
          <w:szCs w:val="24"/>
        </w:rPr>
        <w:t>管理方</w:t>
      </w:r>
      <w:r>
        <w:rPr>
          <w:rFonts w:hint="eastAsia" w:ascii="微软雅黑" w:hAnsi="微软雅黑" w:eastAsia="微软雅黑" w:cs="微软雅黑"/>
          <w:b/>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1DE02DB">
      <w:pPr>
        <w:tabs>
          <w:tab w:val="left" w:pos="3060"/>
        </w:tabs>
        <w:spacing w:before="312" w:beforeLines="100" w:after="312" w:afterLines="100" w:line="360" w:lineRule="auto"/>
        <w:rPr>
          <w:rFonts w:hint="eastAsia" w:ascii="微软雅黑" w:hAnsi="微软雅黑" w:eastAsia="微软雅黑" w:cs="微软雅黑"/>
          <w:b/>
          <w:sz w:val="24"/>
          <w:szCs w:val="24"/>
          <w:u w:val="single"/>
        </w:rPr>
      </w:pPr>
      <w:r>
        <w:rPr>
          <w:rFonts w:hint="eastAsia" w:ascii="微软雅黑" w:hAnsi="微软雅黑" w:eastAsia="微软雅黑" w:cs="微软雅黑"/>
          <w:b/>
          <w:sz w:val="24"/>
          <w:szCs w:val="24"/>
        </w:rPr>
        <w:t>乙方（</w:t>
      </w:r>
      <w:r>
        <w:rPr>
          <w:rFonts w:hint="eastAsia" w:ascii="微软雅黑" w:hAnsi="微软雅黑" w:eastAsia="微软雅黑" w:cs="微软雅黑"/>
          <w:b/>
          <w:sz w:val="24"/>
          <w:szCs w:val="24"/>
        </w:rPr>
        <w:t>委托方</w:t>
      </w:r>
      <w:r>
        <w:rPr>
          <w:rFonts w:hint="eastAsia" w:ascii="微软雅黑" w:hAnsi="微软雅黑" w:eastAsia="微软雅黑" w:cs="微软雅黑"/>
          <w:b/>
          <w:sz w:val="24"/>
          <w:szCs w:val="24"/>
        </w:rPr>
        <w:t>）：</w:t>
      </w:r>
      <w:r>
        <w:rPr>
          <w:rFonts w:hint="eastAsia" w:ascii="微软雅黑" w:hAnsi="微软雅黑" w:eastAsia="微软雅黑" w:cs="微软雅黑"/>
          <w:sz w:val="24"/>
          <w:szCs w:val="24"/>
          <w:u w:val="single"/>
        </w:rPr>
        <w:t xml:space="preserve">                                              </w:t>
      </w:r>
    </w:p>
    <w:p w14:paraId="5B69612B">
      <w:pPr>
        <w:tabs>
          <w:tab w:val="left" w:pos="3060"/>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甲乙双方经协，</w:t>
      </w:r>
      <w:r>
        <w:rPr>
          <w:rFonts w:hint="eastAsia" w:ascii="微软雅黑" w:hAnsi="微软雅黑" w:eastAsia="微软雅黑" w:cs="微软雅黑"/>
          <w:sz w:val="24"/>
          <w:szCs w:val="24"/>
        </w:rPr>
        <w:t>根据《中华人民共和国合同法》《导游人员管理条例》及有关规定，</w:t>
      </w:r>
      <w:r>
        <w:rPr>
          <w:rFonts w:hint="eastAsia" w:ascii="微软雅黑" w:hAnsi="微软雅黑" w:eastAsia="微软雅黑" w:cs="微软雅黑"/>
          <w:sz w:val="24"/>
          <w:szCs w:val="24"/>
        </w:rPr>
        <w:t>就甲方导游身份委托管理事宜达成以下条款。</w:t>
      </w:r>
      <w:r>
        <w:rPr>
          <w:rFonts w:hint="eastAsia" w:ascii="微软雅黑" w:hAnsi="微软雅黑" w:eastAsia="微软雅黑" w:cs="微软雅黑"/>
          <w:sz w:val="24"/>
          <w:szCs w:val="24"/>
        </w:rPr>
        <w:t>双方</w:t>
      </w:r>
      <w:r>
        <w:rPr>
          <w:rFonts w:hint="eastAsia" w:ascii="微软雅黑" w:hAnsi="微软雅黑" w:eastAsia="微软雅黑" w:cs="微软雅黑"/>
          <w:sz w:val="24"/>
          <w:szCs w:val="24"/>
        </w:rPr>
        <w:t>就该事项</w:t>
      </w:r>
      <w:r>
        <w:rPr>
          <w:rFonts w:hint="eastAsia" w:ascii="微软雅黑" w:hAnsi="微软雅黑" w:eastAsia="微软雅黑" w:cs="微软雅黑"/>
          <w:sz w:val="24"/>
          <w:szCs w:val="24"/>
        </w:rPr>
        <w:t>经友好协商，签订本合同，以</w:t>
      </w:r>
      <w:r>
        <w:rPr>
          <w:rFonts w:hint="eastAsia" w:ascii="微软雅黑" w:hAnsi="微软雅黑" w:eastAsia="微软雅黑" w:cs="微软雅黑"/>
          <w:sz w:val="24"/>
          <w:szCs w:val="24"/>
        </w:rPr>
        <w:t>兹</w:t>
      </w:r>
      <w:r>
        <w:rPr>
          <w:rFonts w:hint="eastAsia" w:ascii="微软雅黑" w:hAnsi="微软雅黑" w:eastAsia="微软雅黑" w:cs="微软雅黑"/>
          <w:sz w:val="24"/>
          <w:szCs w:val="24"/>
        </w:rPr>
        <w:t>共同遵守。</w:t>
      </w:r>
    </w:p>
    <w:p w14:paraId="2988850F">
      <w:pPr>
        <w:spacing w:before="100" w:beforeAutospacing="1" w:after="100" w:afterAutospacing="1" w:line="360" w:lineRule="auto"/>
        <w:ind w:firstLine="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甲方基本信息</w:t>
      </w:r>
    </w:p>
    <w:p w14:paraId="6F211366">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1.1 乙方姓名：</w:t>
      </w:r>
      <w:r>
        <w:rPr>
          <w:rFonts w:hint="eastAsia" w:ascii="微软雅黑" w:hAnsi="微软雅黑" w:eastAsia="微软雅黑" w:cs="微软雅黑"/>
          <w:sz w:val="24"/>
          <w:szCs w:val="24"/>
          <w:u w:val="single"/>
        </w:rPr>
        <w:t xml:space="preserve">             </w:t>
      </w:r>
    </w:p>
    <w:p w14:paraId="69A2BCE1">
      <w:pPr>
        <w:tabs>
          <w:tab w:val="left" w:pos="3060"/>
        </w:tabs>
        <w:spacing w:line="360" w:lineRule="auto"/>
        <w:ind w:firstLine="48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1.2 性别：</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BAAF056">
      <w:pPr>
        <w:tabs>
          <w:tab w:val="left" w:pos="3060"/>
        </w:tabs>
        <w:spacing w:line="360" w:lineRule="auto"/>
        <w:ind w:firstLine="48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1.3 年龄：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CCED0CC">
      <w:pPr>
        <w:tabs>
          <w:tab w:val="left" w:pos="3060"/>
        </w:tabs>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1.4 文化程度：</w:t>
      </w:r>
      <w:r>
        <w:rPr>
          <w:rFonts w:hint="eastAsia" w:ascii="微软雅黑" w:hAnsi="微软雅黑" w:eastAsia="微软雅黑" w:cs="微软雅黑"/>
          <w:sz w:val="24"/>
          <w:szCs w:val="24"/>
          <w:u w:val="single"/>
        </w:rPr>
        <w:t xml:space="preserve">             </w:t>
      </w:r>
    </w:p>
    <w:p w14:paraId="3138BC31">
      <w:pPr>
        <w:tabs>
          <w:tab w:val="left" w:pos="3060"/>
        </w:tabs>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1.5 住址：</w:t>
      </w:r>
      <w:r>
        <w:rPr>
          <w:rFonts w:hint="eastAsia" w:ascii="微软雅黑" w:hAnsi="微软雅黑" w:eastAsia="微软雅黑" w:cs="微软雅黑"/>
          <w:sz w:val="24"/>
          <w:szCs w:val="24"/>
          <w:u w:val="single"/>
        </w:rPr>
        <w:t xml:space="preserve">                                   </w:t>
      </w:r>
    </w:p>
    <w:p w14:paraId="054A9E31">
      <w:pPr>
        <w:tabs>
          <w:tab w:val="left" w:pos="3060"/>
        </w:tabs>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1.6 身份证号码：</w:t>
      </w:r>
      <w:r>
        <w:rPr>
          <w:rFonts w:hint="eastAsia" w:ascii="微软雅黑" w:hAnsi="微软雅黑" w:eastAsia="微软雅黑" w:cs="微软雅黑"/>
          <w:sz w:val="24"/>
          <w:szCs w:val="24"/>
          <w:u w:val="single"/>
        </w:rPr>
        <w:t xml:space="preserve">                             </w:t>
      </w:r>
    </w:p>
    <w:p w14:paraId="21EA0C10">
      <w:pPr>
        <w:tabs>
          <w:tab w:val="left" w:pos="3060"/>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1.7 导游证号码：</w:t>
      </w:r>
      <w:r>
        <w:rPr>
          <w:rFonts w:hint="eastAsia" w:ascii="微软雅黑" w:hAnsi="微软雅黑" w:eastAsia="微软雅黑" w:cs="微软雅黑"/>
          <w:sz w:val="24"/>
          <w:szCs w:val="24"/>
          <w:u w:val="single"/>
        </w:rPr>
        <w:t xml:space="preserve">                             </w:t>
      </w:r>
    </w:p>
    <w:p w14:paraId="638EA732">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管理事项</w:t>
      </w:r>
    </w:p>
    <w:p w14:paraId="4002ABB8">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 乙方作为导游员委托甲方对其进行监督、检查及日常管理、培训考核，并听从甲方业务计调的管理，从事导游服务工作。</w:t>
      </w:r>
    </w:p>
    <w:p w14:paraId="7136A7E9">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 委托管理方式采取以下第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种方式进行：</w:t>
      </w:r>
    </w:p>
    <w:p w14:paraId="0F37D7C6">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 专职导游委托管理；</w:t>
      </w:r>
    </w:p>
    <w:p w14:paraId="7516D26F">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 兼职导游委托管理。</w:t>
      </w:r>
    </w:p>
    <w:p w14:paraId="4E984744">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管理要求</w:t>
      </w:r>
    </w:p>
    <w:p w14:paraId="78DE8CB4">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3.1 乙方应当遵守国家的各项法律、法规，旅游行政机关的各项条例、规章、制度及乙方的各项管理制度，服从甲方的工作安排，接受甲方的监督、检查及日常管理、培训及考核。</w:t>
      </w:r>
    </w:p>
    <w:p w14:paraId="1159D72D">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3.2 乙方应严格按照《中华人民共和国导游服务质量国家标准》（GB/T15971）提供导游服务，对自己的行为负责，凡未按照《标准》和甲方要求进行服务所引起的一切后果承担责任，并对造成的损失承担赔偿责任。</w:t>
      </w:r>
    </w:p>
    <w:p w14:paraId="16DD5C0C">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3.3 乙方应严格按照《导游人员管理条例》规定，经甲方委派进行导游活动，严禁私自承揽、承接导游业务，对此造成的一切后果和损失自行承担。</w:t>
      </w:r>
    </w:p>
    <w:p w14:paraId="052BB1DF">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3.4 乙方在带团过程中，不得从事与导游服务无关的其他工作。</w:t>
      </w:r>
    </w:p>
    <w:p w14:paraId="0CAC3483">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管理期限</w:t>
      </w:r>
    </w:p>
    <w:p w14:paraId="0B4E1597">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本委托合同自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日止。</w:t>
      </w:r>
    </w:p>
    <w:p w14:paraId="55233E65">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甲方权利义务</w:t>
      </w:r>
    </w:p>
    <w:p w14:paraId="3356ECF7">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5.1 </w:t>
      </w:r>
      <w:r>
        <w:rPr>
          <w:rFonts w:hint="eastAsia" w:ascii="微软雅黑" w:hAnsi="微软雅黑" w:eastAsia="微软雅黑" w:cs="微软雅黑"/>
          <w:sz w:val="24"/>
          <w:szCs w:val="24"/>
        </w:rPr>
        <w:t>为乙方</w:t>
      </w:r>
      <w:r>
        <w:rPr>
          <w:rFonts w:hint="eastAsia" w:ascii="微软雅黑" w:hAnsi="微软雅黑" w:eastAsia="微软雅黑" w:cs="微软雅黑"/>
          <w:sz w:val="24"/>
          <w:szCs w:val="24"/>
        </w:rPr>
        <w:t>建立导游员档案，负责出具以档案内容为依据的证明材料，为乙方管理《导游员资格证》及</w:t>
      </w:r>
      <w:r>
        <w:rPr>
          <w:rFonts w:hint="eastAsia" w:ascii="微软雅黑" w:hAnsi="微软雅黑" w:eastAsia="微软雅黑" w:cs="微软雅黑"/>
          <w:sz w:val="24"/>
          <w:szCs w:val="24"/>
        </w:rPr>
        <w:t>导游证（</w:t>
      </w:r>
      <w:r>
        <w:rPr>
          <w:rFonts w:hint="eastAsia" w:ascii="微软雅黑" w:hAnsi="微软雅黑" w:eastAsia="微软雅黑" w:cs="微软雅黑"/>
          <w:sz w:val="24"/>
          <w:szCs w:val="24"/>
        </w:rPr>
        <w:t>IC</w:t>
      </w:r>
      <w:r>
        <w:rPr>
          <w:rFonts w:hint="eastAsia" w:ascii="微软雅黑" w:hAnsi="微软雅黑" w:eastAsia="微软雅黑" w:cs="微软雅黑"/>
          <w:sz w:val="24"/>
          <w:szCs w:val="24"/>
        </w:rPr>
        <w:t>卡）</w:t>
      </w:r>
      <w:r>
        <w:rPr>
          <w:rFonts w:hint="eastAsia" w:ascii="微软雅黑" w:hAnsi="微软雅黑" w:eastAsia="微软雅黑" w:cs="微软雅黑"/>
          <w:sz w:val="24"/>
          <w:szCs w:val="24"/>
        </w:rPr>
        <w:t>，制作统一的上岗胸卡</w:t>
      </w:r>
      <w:r>
        <w:rPr>
          <w:rFonts w:hint="eastAsia" w:ascii="微软雅黑" w:hAnsi="微软雅黑" w:eastAsia="微软雅黑" w:cs="微软雅黑"/>
          <w:sz w:val="24"/>
          <w:szCs w:val="24"/>
        </w:rPr>
        <w:t>。</w:t>
      </w:r>
    </w:p>
    <w:p w14:paraId="473D01F5">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5.2 组织乙方参加旅游行政部门的年审考核，晋级考试等考核、考察活动；</w:t>
      </w:r>
    </w:p>
    <w:p w14:paraId="116F6D55">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5.3 组织乙方参加业务、职业道德、政策法规等培训，帮助乙方不断提高政治素质和业务水平；</w:t>
      </w:r>
    </w:p>
    <w:p w14:paraId="2B898DA2">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5.4 甲方根据实际情况安排乙方导游接待、讲解服务等工作，并对乙方的工作进行考核；</w:t>
      </w:r>
    </w:p>
    <w:p w14:paraId="01187D5F">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5.5 甲方协助乙方办理相关的保险事宜，为乙方提供法律援助，切实维护乙方的合法权益。</w:t>
      </w:r>
    </w:p>
    <w:p w14:paraId="6CE7EABC">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第六条  </w:t>
      </w:r>
      <w:r>
        <w:rPr>
          <w:rFonts w:hint="eastAsia" w:ascii="微软雅黑" w:hAnsi="微软雅黑" w:eastAsia="微软雅黑" w:cs="微软雅黑"/>
          <w:b/>
          <w:sz w:val="24"/>
          <w:szCs w:val="24"/>
        </w:rPr>
        <w:t>乙方权利与义务</w:t>
      </w:r>
    </w:p>
    <w:p w14:paraId="7E6AF6DF">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6.1 </w:t>
      </w:r>
      <w:r>
        <w:rPr>
          <w:rFonts w:hint="eastAsia" w:ascii="微软雅黑" w:hAnsi="微软雅黑" w:eastAsia="微软雅黑" w:cs="微软雅黑"/>
          <w:sz w:val="24"/>
          <w:szCs w:val="24"/>
        </w:rPr>
        <w:t>有权拒绝</w:t>
      </w:r>
      <w:r>
        <w:rPr>
          <w:rFonts w:hint="eastAsia" w:ascii="微软雅黑" w:hAnsi="微软雅黑" w:eastAsia="微软雅黑" w:cs="微软雅黑"/>
          <w:sz w:val="24"/>
          <w:szCs w:val="24"/>
        </w:rPr>
        <w:t>甲</w:t>
      </w:r>
      <w:r>
        <w:rPr>
          <w:rFonts w:hint="eastAsia" w:ascii="微软雅黑" w:hAnsi="微软雅黑" w:eastAsia="微软雅黑" w:cs="微软雅黑"/>
          <w:sz w:val="24"/>
          <w:szCs w:val="24"/>
        </w:rPr>
        <w:t>方或旅游者提出的侮辱其人格尊严或者违反职业道德的不合理要求</w:t>
      </w:r>
      <w:r>
        <w:rPr>
          <w:rFonts w:hint="eastAsia" w:ascii="微软雅黑" w:hAnsi="微软雅黑" w:eastAsia="微软雅黑" w:cs="微软雅黑"/>
          <w:sz w:val="24"/>
          <w:szCs w:val="24"/>
        </w:rPr>
        <w:t>；</w:t>
      </w:r>
    </w:p>
    <w:p w14:paraId="6FF25749">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6.2 </w:t>
      </w:r>
      <w:r>
        <w:rPr>
          <w:rFonts w:hint="eastAsia" w:ascii="微软雅黑" w:hAnsi="微软雅黑" w:eastAsia="微软雅黑" w:cs="微软雅黑"/>
          <w:sz w:val="24"/>
          <w:szCs w:val="24"/>
        </w:rPr>
        <w:t>在引导旅游者旅行、游览过程中，遇有可能危及旅游者人身安全的紧急情形时，经征得多数旅游者的同意，可以调整或者变更接待计划，但是应当立即报告</w:t>
      </w:r>
      <w:r>
        <w:rPr>
          <w:rFonts w:hint="eastAsia" w:ascii="微软雅黑" w:hAnsi="微软雅黑" w:eastAsia="微软雅黑" w:cs="微软雅黑"/>
          <w:sz w:val="24"/>
          <w:szCs w:val="24"/>
        </w:rPr>
        <w:t>甲方；</w:t>
      </w:r>
    </w:p>
    <w:p w14:paraId="71580090">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6.3 </w:t>
      </w:r>
      <w:r>
        <w:rPr>
          <w:rFonts w:hint="eastAsia" w:ascii="微软雅黑" w:hAnsi="微软雅黑" w:eastAsia="微软雅黑" w:cs="微软雅黑"/>
          <w:sz w:val="24"/>
          <w:szCs w:val="24"/>
        </w:rPr>
        <w:t>在引导旅游者旅行、游览过程中，应当就可能发生危及旅游者人身、财物安全的情况，预先向全体旅游者</w:t>
      </w:r>
      <w:r>
        <w:rPr>
          <w:rFonts w:hint="eastAsia" w:ascii="微软雅黑" w:hAnsi="微软雅黑" w:eastAsia="微软雅黑" w:cs="微软雅黑"/>
          <w:sz w:val="24"/>
          <w:szCs w:val="24"/>
        </w:rPr>
        <w:t>做出</w:t>
      </w:r>
      <w:r>
        <w:rPr>
          <w:rFonts w:hint="eastAsia" w:ascii="微软雅黑" w:hAnsi="微软雅黑" w:eastAsia="微软雅黑" w:cs="微软雅黑"/>
          <w:sz w:val="24"/>
          <w:szCs w:val="24"/>
        </w:rPr>
        <w:t>真实说明和明确警示，并按照</w:t>
      </w: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rPr>
        <w:t>的要求采取防止危害发生的措施</w:t>
      </w:r>
      <w:r>
        <w:rPr>
          <w:rFonts w:hint="eastAsia" w:ascii="微软雅黑" w:hAnsi="微软雅黑" w:eastAsia="微软雅黑" w:cs="微软雅黑"/>
          <w:sz w:val="24"/>
          <w:szCs w:val="24"/>
        </w:rPr>
        <w:t>；</w:t>
      </w:r>
    </w:p>
    <w:p w14:paraId="11806FA1">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6.4 服从甲方统一导游服装的规定，听从乙方业务计调的管理，按照甲方的安排提供导游服务，不得挑团、不得无故请假，保守甲方的商业秘密；</w:t>
      </w:r>
    </w:p>
    <w:p w14:paraId="6663EADC">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6.5 </w:t>
      </w:r>
      <w:r>
        <w:rPr>
          <w:rFonts w:hint="eastAsia" w:ascii="微软雅黑" w:hAnsi="微软雅黑" w:eastAsia="微软雅黑" w:cs="微软雅黑"/>
          <w:sz w:val="24"/>
          <w:szCs w:val="24"/>
        </w:rPr>
        <w:t>按时参加</w:t>
      </w:r>
      <w:r>
        <w:rPr>
          <w:rFonts w:hint="eastAsia" w:ascii="微软雅黑" w:hAnsi="微软雅黑" w:eastAsia="微软雅黑" w:cs="微软雅黑"/>
          <w:sz w:val="24"/>
          <w:szCs w:val="24"/>
        </w:rPr>
        <w:t>甲</w:t>
      </w:r>
      <w:r>
        <w:rPr>
          <w:rFonts w:hint="eastAsia" w:ascii="微软雅黑" w:hAnsi="微软雅黑" w:eastAsia="微软雅黑" w:cs="微软雅黑"/>
          <w:sz w:val="24"/>
          <w:szCs w:val="24"/>
        </w:rPr>
        <w:t>方安排的政策业务培训和年审培训等</w:t>
      </w:r>
      <w:r>
        <w:rPr>
          <w:rFonts w:hint="eastAsia" w:ascii="微软雅黑" w:hAnsi="微软雅黑" w:eastAsia="微软雅黑" w:cs="微软雅黑"/>
          <w:sz w:val="24"/>
          <w:szCs w:val="24"/>
        </w:rPr>
        <w:t>；</w:t>
      </w:r>
    </w:p>
    <w:p w14:paraId="792A23AC">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6.6 依照合同约定按时向甲方交纳管理费、年审费及培训费用等费用。</w:t>
      </w:r>
    </w:p>
    <w:p w14:paraId="23ECF35C">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管理费及其他费用</w:t>
      </w:r>
    </w:p>
    <w:p w14:paraId="4608CAE1">
      <w:pPr>
        <w:spacing w:line="360" w:lineRule="auto"/>
        <w:ind w:right="-1" w:firstLine="465"/>
        <w:rPr>
          <w:rFonts w:hint="eastAsia" w:ascii="微软雅黑" w:hAnsi="微软雅黑" w:eastAsia="微软雅黑" w:cs="微软雅黑"/>
          <w:sz w:val="24"/>
          <w:szCs w:val="24"/>
        </w:rPr>
      </w:pPr>
      <w:r>
        <w:rPr>
          <w:rFonts w:hint="eastAsia" w:ascii="微软雅黑" w:hAnsi="微软雅黑" w:eastAsia="微软雅黑" w:cs="微软雅黑"/>
          <w:sz w:val="24"/>
          <w:szCs w:val="24"/>
        </w:rPr>
        <w:t>7.1 乙方向甲方交纳管理费、年审费及培训费。</w:t>
      </w:r>
    </w:p>
    <w:p w14:paraId="2D6FA20F">
      <w:pPr>
        <w:spacing w:line="360" w:lineRule="auto"/>
        <w:ind w:right="-1" w:firstLine="465"/>
        <w:rPr>
          <w:rFonts w:hint="eastAsia" w:ascii="微软雅黑" w:hAnsi="微软雅黑" w:eastAsia="微软雅黑" w:cs="微软雅黑"/>
          <w:sz w:val="24"/>
          <w:szCs w:val="24"/>
        </w:rPr>
      </w:pPr>
      <w:r>
        <w:rPr>
          <w:rFonts w:hint="eastAsia" w:ascii="微软雅黑" w:hAnsi="微软雅黑" w:eastAsia="微软雅黑" w:cs="微软雅黑"/>
          <w:sz w:val="24"/>
          <w:szCs w:val="24"/>
        </w:rPr>
        <w:t>7.2 年审费为人民币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元/年；培训费为人民币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元/年；管理费用区分专职和兼职导游，专职导游管理费为人民币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元/年；兼职导游管理费为人民币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元/年。</w:t>
      </w:r>
    </w:p>
    <w:p w14:paraId="685BE1BA">
      <w:pPr>
        <w:spacing w:line="360" w:lineRule="auto"/>
        <w:ind w:right="-1" w:firstLine="465"/>
        <w:rPr>
          <w:rFonts w:hint="eastAsia" w:ascii="微软雅黑" w:hAnsi="微软雅黑" w:eastAsia="微软雅黑" w:cs="微软雅黑"/>
          <w:b/>
          <w:sz w:val="24"/>
          <w:szCs w:val="24"/>
          <w:u w:val="single"/>
        </w:rPr>
      </w:pPr>
      <w:r>
        <w:rPr>
          <w:rFonts w:hint="eastAsia" w:ascii="微软雅黑" w:hAnsi="微软雅黑" w:eastAsia="微软雅黑" w:cs="微软雅黑"/>
          <w:sz w:val="24"/>
          <w:szCs w:val="24"/>
        </w:rPr>
        <w:t>7.3 专职导游报酬采取自收自支方式由甲方按月代为发放。</w:t>
      </w:r>
    </w:p>
    <w:p w14:paraId="17F47BBF">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违约责任</w:t>
      </w:r>
    </w:p>
    <w:p w14:paraId="66916F31">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8.1 甲方在合同履行中未向乙方提供相应的导游证管理、业务培训等义务，甲方有权要求乙方继续履行该义务，并承担由此造成的损失。</w:t>
      </w:r>
    </w:p>
    <w:p w14:paraId="2BA1FB2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8.2 乙</w:t>
      </w:r>
      <w:r>
        <w:rPr>
          <w:rFonts w:hint="eastAsia" w:ascii="微软雅黑" w:hAnsi="微软雅黑" w:eastAsia="微软雅黑" w:cs="微软雅黑"/>
          <w:sz w:val="24"/>
          <w:szCs w:val="24"/>
        </w:rPr>
        <w:t>方应按照合同约定的时间和</w:t>
      </w:r>
      <w:r>
        <w:rPr>
          <w:rFonts w:hint="eastAsia" w:ascii="微软雅黑" w:hAnsi="微软雅黑" w:eastAsia="微软雅黑" w:cs="微软雅黑"/>
          <w:sz w:val="24"/>
          <w:szCs w:val="24"/>
        </w:rPr>
        <w:t>数额</w:t>
      </w:r>
      <w:r>
        <w:rPr>
          <w:rFonts w:hint="eastAsia" w:ascii="微软雅黑" w:hAnsi="微软雅黑" w:eastAsia="微软雅黑" w:cs="微软雅黑"/>
          <w:sz w:val="24"/>
          <w:szCs w:val="24"/>
        </w:rPr>
        <w:t>向</w:t>
      </w:r>
      <w:r>
        <w:rPr>
          <w:rFonts w:hint="eastAsia" w:ascii="微软雅黑" w:hAnsi="微软雅黑" w:eastAsia="微软雅黑" w:cs="微软雅黑"/>
          <w:sz w:val="24"/>
          <w:szCs w:val="24"/>
        </w:rPr>
        <w:t>甲</w:t>
      </w:r>
      <w:r>
        <w:rPr>
          <w:rFonts w:hint="eastAsia" w:ascii="微软雅黑" w:hAnsi="微软雅黑" w:eastAsia="微软雅黑" w:cs="微软雅黑"/>
          <w:sz w:val="24"/>
          <w:szCs w:val="24"/>
        </w:rPr>
        <w:t>方支付</w:t>
      </w:r>
      <w:r>
        <w:rPr>
          <w:rFonts w:hint="eastAsia" w:ascii="微软雅黑" w:hAnsi="微软雅黑" w:eastAsia="微软雅黑" w:cs="微软雅黑"/>
          <w:sz w:val="24"/>
          <w:szCs w:val="24"/>
        </w:rPr>
        <w:t>管理费用</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乙</w:t>
      </w:r>
      <w:r>
        <w:rPr>
          <w:rFonts w:hint="eastAsia" w:ascii="微软雅黑" w:hAnsi="微软雅黑" w:eastAsia="微软雅黑" w:cs="微软雅黑"/>
          <w:sz w:val="24"/>
          <w:szCs w:val="24"/>
        </w:rPr>
        <w:t>方逾期付款</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每逾期一日按合同总价款的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向甲方支付违约金，</w:t>
      </w:r>
      <w:r>
        <w:rPr>
          <w:rFonts w:hint="eastAsia" w:ascii="微软雅黑" w:hAnsi="微软雅黑" w:eastAsia="微软雅黑" w:cs="微软雅黑"/>
          <w:kern w:val="0"/>
          <w:sz w:val="24"/>
          <w:szCs w:val="24"/>
        </w:rPr>
        <w:t>逾期达</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日，甲方有权解除合同，并要求乙方按照合同总价款的</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%支付违约金。</w:t>
      </w:r>
    </w:p>
    <w:p w14:paraId="23BAD6BE">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8.3 在导游过程中，因乙方原因发生纠纷的，对此乙方应自行承担责任，由此对甲方造成损失的，乙方应向甲方承担相应的赔偿责任。</w:t>
      </w:r>
    </w:p>
    <w:p w14:paraId="78792503">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8.4 </w:t>
      </w:r>
      <w:r>
        <w:rPr>
          <w:rFonts w:hint="eastAsia" w:ascii="微软雅黑" w:hAnsi="微软雅黑" w:eastAsia="微软雅黑" w:cs="微软雅黑"/>
          <w:sz w:val="24"/>
          <w:szCs w:val="24"/>
        </w:rPr>
        <w:t>乙方在从事导游服务工作时违反本合同约定私自承接导游业务，甲方有权单方解除合同，并有权要求乙方承担</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w:t>
      </w:r>
    </w:p>
    <w:p w14:paraId="1704DB6A">
      <w:pPr>
        <w:tabs>
          <w:tab w:val="left" w:pos="3060"/>
        </w:tabs>
        <w:spacing w:before="100" w:beforeAutospacing="1" w:after="100" w:afterAutospacing="1" w:line="360" w:lineRule="auto"/>
        <w:ind w:left="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九</w:t>
      </w:r>
      <w:r>
        <w:rPr>
          <w:rFonts w:hint="eastAsia" w:ascii="微软雅黑" w:hAnsi="微软雅黑" w:eastAsia="微软雅黑" w:cs="微软雅黑"/>
          <w:b/>
          <w:sz w:val="24"/>
          <w:szCs w:val="24"/>
        </w:rPr>
        <w:t>条 不可抗力</w:t>
      </w:r>
    </w:p>
    <w:p w14:paraId="4C1AEF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于不可抗力致使本合同不能履行或者不能完全履行时，遇到不可抗力事件的一方，应立即书面通知合同相对方，并应在不可抗力事件发生后十五天内，向合同相对方提供相关证明文件。由合同各方按照时间对履行合同影响的程度协商决定是否</w:t>
      </w:r>
      <w:r>
        <w:rPr>
          <w:rFonts w:hint="eastAsia" w:ascii="微软雅黑" w:hAnsi="微软雅黑" w:eastAsia="微软雅黑" w:cs="微软雅黑"/>
          <w:sz w:val="24"/>
          <w:szCs w:val="24"/>
        </w:rPr>
        <w:t>变更或解除合同</w:t>
      </w:r>
      <w:r>
        <w:rPr>
          <w:rFonts w:hint="eastAsia" w:ascii="微软雅黑" w:hAnsi="微软雅黑" w:eastAsia="微软雅黑" w:cs="微软雅黑"/>
          <w:sz w:val="24"/>
          <w:szCs w:val="24"/>
        </w:rPr>
        <w:t>。遭受不可抗力的</w:t>
      </w:r>
      <w:r>
        <w:rPr>
          <w:rFonts w:hint="eastAsia" w:ascii="微软雅黑" w:hAnsi="微软雅黑" w:eastAsia="微软雅黑" w:cs="微软雅黑"/>
          <w:sz w:val="24"/>
          <w:szCs w:val="24"/>
        </w:rPr>
        <w:t>一</w:t>
      </w:r>
      <w:r>
        <w:rPr>
          <w:rFonts w:hint="eastAsia" w:ascii="微软雅黑" w:hAnsi="微软雅黑" w:eastAsia="微软雅黑" w:cs="微软雅黑"/>
          <w:sz w:val="24"/>
          <w:szCs w:val="24"/>
        </w:rPr>
        <w:t>方未履行上述义务的，不能免除其违约责任。</w:t>
      </w:r>
    </w:p>
    <w:p w14:paraId="1584A446">
      <w:pPr>
        <w:tabs>
          <w:tab w:val="left" w:pos="3060"/>
        </w:tabs>
        <w:spacing w:before="100" w:beforeAutospacing="1" w:after="100" w:afterAutospacing="1" w:line="360" w:lineRule="auto"/>
        <w:ind w:left="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十</w:t>
      </w:r>
      <w:r>
        <w:rPr>
          <w:rFonts w:hint="eastAsia" w:ascii="微软雅黑" w:hAnsi="微软雅黑" w:eastAsia="微软雅黑" w:cs="微软雅黑"/>
          <w:b/>
          <w:sz w:val="24"/>
          <w:szCs w:val="24"/>
        </w:rPr>
        <w:t>条 争议解决方式</w:t>
      </w:r>
    </w:p>
    <w:p w14:paraId="5D5E4E82">
      <w:pPr>
        <w:widowControl/>
        <w:autoSpaceDN w:val="0"/>
        <w:spacing w:line="360" w:lineRule="auto"/>
        <w:ind w:firstLine="480" w:firstLineChars="200"/>
        <w:jc w:val="left"/>
        <w:rPr>
          <w:rFonts w:hint="eastAsia" w:ascii="微软雅黑" w:hAnsi="微软雅黑" w:eastAsia="微软雅黑" w:cs="微软雅黑"/>
          <w:b/>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lang w:val="en-US" w:eastAsia="zh-CN"/>
        </w:rPr>
        <w:t xml:space="preserve">第十一条 </w:t>
      </w:r>
      <w:r>
        <w:rPr>
          <w:rFonts w:hint="eastAsia" w:ascii="微软雅黑" w:hAnsi="微软雅黑" w:eastAsia="微软雅黑" w:cs="微软雅黑"/>
          <w:b/>
          <w:sz w:val="24"/>
          <w:szCs w:val="24"/>
        </w:rPr>
        <w:t>送</w:t>
      </w:r>
      <w:r>
        <w:rPr>
          <w:rFonts w:hint="eastAsia" w:ascii="微软雅黑" w:hAnsi="微软雅黑" w:eastAsia="微软雅黑" w:cs="微软雅黑"/>
          <w:b/>
          <w:sz w:val="24"/>
          <w:szCs w:val="24"/>
          <w:lang w:val="en-US" w:eastAsia="zh-CN"/>
        </w:rPr>
        <w:t>达地址以及送达条款</w:t>
      </w:r>
    </w:p>
    <w:p w14:paraId="0ADBF466">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11.1</w:t>
      </w:r>
      <w:r>
        <w:rPr>
          <w:rFonts w:hint="eastAsia" w:ascii="微软雅黑" w:hAnsi="微软雅黑" w:eastAsia="微软雅黑" w:cs="微软雅黑"/>
          <w:sz w:val="24"/>
          <w:szCs w:val="24"/>
          <w:lang w:val="en-US" w:eastAsia="zh-CN"/>
        </w:rPr>
        <w:t>送达地址以及方式</w:t>
      </w:r>
    </w:p>
    <w:p w14:paraId="29ACA429">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11.1</w:t>
      </w:r>
      <w:r>
        <w:rPr>
          <w:rFonts w:hint="eastAsia" w:ascii="微软雅黑" w:hAnsi="微软雅黑" w:eastAsia="微软雅黑" w:cs="微软雅黑"/>
          <w:sz w:val="24"/>
          <w:szCs w:val="24"/>
          <w:lang w:val="en-US"/>
        </w:rPr>
        <w:t>.1</w:t>
      </w:r>
      <w:r>
        <w:rPr>
          <w:rFonts w:hint="eastAsia" w:ascii="微软雅黑" w:hAnsi="微软雅黑" w:eastAsia="微软雅黑" w:cs="微软雅黑"/>
          <w:sz w:val="24"/>
          <w:szCs w:val="24"/>
          <w:lang w:val="en-US" w:eastAsia="zh-CN"/>
        </w:rPr>
        <w:t>送达地址</w:t>
      </w:r>
    </w:p>
    <w:p w14:paraId="2AD5D29C">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1.甲方确认送达地址如下：</w:t>
      </w:r>
    </w:p>
    <w:p w14:paraId="17800D2D">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C1927FA">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2DAC25B">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11D9B4B6">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9BA7DE">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191DBDF2">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8FB022">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0C09E2EC">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3FC2318B">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081000AE">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2.乙方确认送达地址如下：</w:t>
      </w:r>
    </w:p>
    <w:p w14:paraId="7CD6D212">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A6233A6">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BF79148">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6AF91F29">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15ADDF">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2D0A54D">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30B41F">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37474F56">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4218BF3">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48739564">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11.1</w:t>
      </w:r>
      <w:r>
        <w:rPr>
          <w:rFonts w:hint="eastAsia" w:ascii="微软雅黑" w:hAnsi="微软雅黑" w:eastAsia="微软雅黑" w:cs="微软雅黑"/>
          <w:sz w:val="24"/>
          <w:szCs w:val="24"/>
          <w:lang w:val="en-US"/>
        </w:rPr>
        <w:t>.2</w:t>
      </w:r>
      <w:r>
        <w:rPr>
          <w:rFonts w:hint="eastAsia" w:ascii="微软雅黑" w:hAnsi="微软雅黑" w:eastAsia="微软雅黑" w:cs="微软雅黑"/>
          <w:sz w:val="24"/>
          <w:szCs w:val="24"/>
          <w:lang w:val="en-US" w:eastAsia="zh-CN"/>
        </w:rPr>
        <w:t>送达方式</w:t>
      </w:r>
    </w:p>
    <w:p w14:paraId="037C7869">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1B382A2A">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1.直接送达：将文件送至对方指定的送达地址，视为已送达；</w:t>
      </w:r>
    </w:p>
    <w:p w14:paraId="2DD04B00">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2.邮寄送达：将文件通过挂号信、特快专递等方式寄至对方指定的送达地址，以邮戳日期为准，视为已送达；</w:t>
      </w:r>
    </w:p>
    <w:p w14:paraId="496E3C98">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3.电子送达：将文件通过电子邮件、短信、微信等方式发送至对方指定的电子邮箱、手机号码等，发送成功即视为已送达。</w:t>
      </w:r>
    </w:p>
    <w:p w14:paraId="2C08836E">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lang w:val="en-US"/>
        </w:rPr>
        <w:t>2</w:t>
      </w:r>
      <w:r>
        <w:rPr>
          <w:rFonts w:hint="eastAsia" w:ascii="微软雅黑" w:hAnsi="微软雅黑" w:eastAsia="微软雅黑" w:cs="微软雅黑"/>
          <w:sz w:val="24"/>
          <w:szCs w:val="24"/>
          <w:lang w:val="en-US" w:eastAsia="zh-CN"/>
        </w:rPr>
        <w:t>送达条款</w:t>
      </w:r>
    </w:p>
    <w:p w14:paraId="12D88107">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lang w:val="en-US"/>
        </w:rPr>
        <w:t>2.1</w:t>
      </w:r>
      <w:r>
        <w:rPr>
          <w:rFonts w:hint="eastAsia" w:ascii="微软雅黑" w:hAnsi="微软雅黑" w:eastAsia="微软雅黑" w:cs="微软雅黑"/>
          <w:sz w:val="24"/>
          <w:szCs w:val="24"/>
          <w:lang w:val="en-US" w:eastAsia="zh-CN"/>
        </w:rPr>
        <w:t>本送达条款适用于合同履行履行期间及合同纠纷解决过程中的所有文件送达。</w:t>
      </w:r>
    </w:p>
    <w:p w14:paraId="291C528B">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lang w:val="en-US"/>
        </w:rPr>
        <w:t>2.2</w:t>
      </w:r>
      <w:r>
        <w:rPr>
          <w:rFonts w:hint="eastAsia" w:ascii="微软雅黑" w:hAnsi="微软雅黑" w:eastAsia="微软雅黑" w:cs="微软雅黑"/>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lang w:val="en-US"/>
        </w:rPr>
        <w:t>2.3</w:t>
      </w:r>
      <w:r>
        <w:rPr>
          <w:rFonts w:hint="eastAsia" w:ascii="微软雅黑" w:hAnsi="微软雅黑" w:eastAsia="微软雅黑" w:cs="微软雅黑"/>
          <w:sz w:val="24"/>
          <w:szCs w:val="24"/>
          <w:lang w:val="en-US" w:eastAsia="zh-CN"/>
        </w:rPr>
        <w:t>双方在合同履行过程中由双方共同明示或默示确认的合同约定外的送达地址和联系方式不影响送达效力。</w:t>
      </w:r>
    </w:p>
    <w:p w14:paraId="1E9A5D29">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lang w:val="en-US"/>
        </w:rPr>
        <w:t>2.4</w:t>
      </w:r>
      <w:r>
        <w:rPr>
          <w:rFonts w:hint="eastAsia" w:ascii="微软雅黑" w:hAnsi="微软雅黑" w:eastAsia="微软雅黑" w:cs="微软雅黑"/>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74D90BB5">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lang w:val="en-US"/>
        </w:rPr>
        <w:t>2.5</w:t>
      </w:r>
      <w:r>
        <w:rPr>
          <w:rFonts w:hint="eastAsia" w:ascii="微软雅黑" w:hAnsi="微软雅黑" w:eastAsia="微软雅黑" w:cs="微软雅黑"/>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5BEA7E0B">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lang w:val="en-US"/>
        </w:rPr>
        <w:t>2.6</w:t>
      </w:r>
      <w:r>
        <w:rPr>
          <w:rFonts w:hint="eastAsia" w:ascii="微软雅黑" w:hAnsi="微软雅黑" w:eastAsia="微软雅黑" w:cs="微软雅黑"/>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59D1D459">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1.擅自变更送达地址及信息且未及时通知对方的；</w:t>
      </w:r>
    </w:p>
    <w:p w14:paraId="5D6806DA">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2.送达地址与信息同工商登记信息不一致且未及时更改的；</w:t>
      </w:r>
    </w:p>
    <w:p w14:paraId="7ED617E7">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3.故意不接收蚌埠仲裁委员会送达文书的；</w:t>
      </w:r>
    </w:p>
    <w:p w14:paraId="2959B444">
      <w:pPr>
        <w:widowControl/>
        <w:autoSpaceDN w:val="0"/>
        <w:spacing w:line="360" w:lineRule="auto"/>
        <w:ind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4.因接收方过错造成无法正常送达的其他行为。</w:t>
      </w:r>
    </w:p>
    <w:p w14:paraId="105D2D01">
      <w:pPr>
        <w:tabs>
          <w:tab w:val="left" w:pos="3060"/>
        </w:tabs>
        <w:spacing w:before="100" w:beforeAutospacing="1" w:after="100" w:afterAutospacing="1" w:line="360" w:lineRule="auto"/>
        <w:ind w:left="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十</w:t>
      </w:r>
      <w:r>
        <w:rPr>
          <w:rFonts w:hint="eastAsia" w:ascii="微软雅黑" w:hAnsi="微软雅黑" w:eastAsia="微软雅黑" w:cs="微软雅黑"/>
          <w:b/>
          <w:sz w:val="24"/>
          <w:szCs w:val="24"/>
          <w:lang w:val="en-US" w:eastAsia="zh-CN"/>
        </w:rPr>
        <w:t>二</w:t>
      </w:r>
      <w:r>
        <w:rPr>
          <w:rFonts w:hint="eastAsia" w:ascii="微软雅黑" w:hAnsi="微软雅黑" w:eastAsia="微软雅黑" w:cs="微软雅黑"/>
          <w:b/>
          <w:sz w:val="24"/>
          <w:szCs w:val="24"/>
        </w:rPr>
        <w:t>条 合同</w:t>
      </w:r>
      <w:r>
        <w:rPr>
          <w:rFonts w:hint="eastAsia" w:ascii="微软雅黑" w:hAnsi="微软雅黑" w:eastAsia="微软雅黑" w:cs="微软雅黑"/>
          <w:b/>
          <w:sz w:val="24"/>
          <w:szCs w:val="24"/>
        </w:rPr>
        <w:t>的</w:t>
      </w:r>
      <w:r>
        <w:rPr>
          <w:rFonts w:hint="eastAsia" w:ascii="微软雅黑" w:hAnsi="微软雅黑" w:eastAsia="微软雅黑" w:cs="微软雅黑"/>
          <w:b/>
          <w:sz w:val="24"/>
          <w:szCs w:val="24"/>
        </w:rPr>
        <w:t>解除</w:t>
      </w:r>
    </w:p>
    <w:p w14:paraId="6AA5F7A4">
      <w:pPr>
        <w:spacing w:line="360" w:lineRule="auto"/>
        <w:ind w:right="-1"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rPr>
        <w:t>2</w:t>
      </w:r>
      <w:r>
        <w:rPr>
          <w:rFonts w:hint="eastAsia" w:ascii="微软雅黑" w:hAnsi="微软雅黑" w:eastAsia="微软雅黑" w:cs="微软雅黑"/>
          <w:sz w:val="24"/>
          <w:szCs w:val="24"/>
        </w:rPr>
        <w:t>.1 本协议履行期满后，甲乙双方不再续签，协议自然终止，如一方提出续签，需提前一个月告知对方并达成新的委托管理合同。</w:t>
      </w:r>
    </w:p>
    <w:p w14:paraId="1120FF64">
      <w:pPr>
        <w:widowControl/>
        <w:autoSpaceDN w:val="0"/>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rPr>
        <w:t>2</w:t>
      </w:r>
      <w:r>
        <w:rPr>
          <w:rFonts w:hint="eastAsia" w:ascii="微软雅黑" w:hAnsi="微软雅黑" w:eastAsia="微软雅黑" w:cs="微软雅黑"/>
          <w:sz w:val="24"/>
          <w:szCs w:val="24"/>
        </w:rPr>
        <w:t>.2 甲方在从事导游服务工作时未遵守各项管理规定受到旅游行政管理部门吊销导游证的，该协议自动解除。</w:t>
      </w:r>
    </w:p>
    <w:p w14:paraId="5579F33E">
      <w:pPr>
        <w:widowControl/>
        <w:autoSpaceDN w:val="0"/>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因第8条规定造成</w:t>
      </w:r>
      <w:r>
        <w:rPr>
          <w:rFonts w:hint="eastAsia" w:ascii="微软雅黑" w:hAnsi="微软雅黑" w:eastAsia="微软雅黑" w:cs="微软雅黑"/>
          <w:sz w:val="24"/>
          <w:szCs w:val="24"/>
        </w:rPr>
        <w:t>合同解除</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，对于已经履行部分所造成的实际损失，</w:t>
      </w:r>
      <w:r>
        <w:rPr>
          <w:rFonts w:hint="eastAsia" w:ascii="微软雅黑" w:hAnsi="微软雅黑" w:eastAsia="微软雅黑" w:cs="微软雅黑"/>
          <w:sz w:val="24"/>
          <w:szCs w:val="24"/>
        </w:rPr>
        <w:t>违约金不足以弥补损失的，乙方还</w:t>
      </w:r>
      <w:r>
        <w:rPr>
          <w:rFonts w:hint="eastAsia" w:ascii="微软雅黑" w:hAnsi="微软雅黑" w:eastAsia="微软雅黑" w:cs="微软雅黑"/>
          <w:sz w:val="24"/>
          <w:szCs w:val="24"/>
        </w:rPr>
        <w:t>应承担</w:t>
      </w:r>
      <w:r>
        <w:rPr>
          <w:rFonts w:hint="eastAsia" w:ascii="微软雅黑" w:hAnsi="微软雅黑" w:eastAsia="微软雅黑" w:cs="微软雅黑"/>
          <w:sz w:val="24"/>
          <w:szCs w:val="24"/>
        </w:rPr>
        <w:t>赔偿责任</w:t>
      </w:r>
      <w:r>
        <w:rPr>
          <w:rFonts w:hint="eastAsia" w:ascii="微软雅黑" w:hAnsi="微软雅黑" w:eastAsia="微软雅黑" w:cs="微软雅黑"/>
          <w:sz w:val="24"/>
          <w:szCs w:val="24"/>
        </w:rPr>
        <w:t>。</w:t>
      </w:r>
    </w:p>
    <w:p w14:paraId="6D8B85C7">
      <w:pPr>
        <w:tabs>
          <w:tab w:val="left" w:pos="3060"/>
        </w:tabs>
        <w:spacing w:before="100" w:beforeAutospacing="1" w:after="100" w:afterAutospacing="1" w:line="360" w:lineRule="auto"/>
        <w:ind w:left="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三</w:t>
      </w:r>
      <w:r>
        <w:rPr>
          <w:rFonts w:hint="eastAsia" w:ascii="微软雅黑" w:hAnsi="微软雅黑" w:eastAsia="微软雅黑" w:cs="微软雅黑"/>
          <w:b/>
          <w:sz w:val="24"/>
          <w:szCs w:val="24"/>
        </w:rPr>
        <w:t>条 合同生效与终止</w:t>
      </w:r>
    </w:p>
    <w:p w14:paraId="0013E61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rPr>
        <w:t>3</w:t>
      </w:r>
      <w:r>
        <w:rPr>
          <w:rFonts w:hint="eastAsia" w:ascii="微软雅黑" w:hAnsi="微软雅黑" w:eastAsia="微软雅黑" w:cs="微软雅黑"/>
          <w:sz w:val="24"/>
          <w:szCs w:val="24"/>
        </w:rPr>
        <w:t>.1 本合同自双方签字盖章之日起生效，待双方履行完本合同的义务后，即行终止。</w:t>
      </w:r>
    </w:p>
    <w:p w14:paraId="385F86C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rPr>
        <w:t>3</w:t>
      </w:r>
      <w:r>
        <w:rPr>
          <w:rFonts w:hint="eastAsia" w:ascii="微软雅黑" w:hAnsi="微软雅黑" w:eastAsia="微软雅黑" w:cs="微软雅黑"/>
          <w:sz w:val="24"/>
          <w:szCs w:val="24"/>
        </w:rPr>
        <w:t>.2 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p>
    <w:p w14:paraId="53EB69B7">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rPr>
        <w:t>3</w:t>
      </w:r>
      <w:r>
        <w:rPr>
          <w:rFonts w:hint="eastAsia" w:ascii="微软雅黑" w:hAnsi="微软雅黑" w:eastAsia="微软雅黑" w:cs="微软雅黑"/>
          <w:sz w:val="24"/>
          <w:szCs w:val="24"/>
        </w:rPr>
        <w:t>.3 本合同附件与合同具有同等法律效力。</w:t>
      </w:r>
    </w:p>
    <w:p w14:paraId="6924282E">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（以下无正文</w:t>
      </w:r>
      <w:r>
        <w:rPr>
          <w:rFonts w:hint="eastAsia" w:ascii="微软雅黑" w:hAnsi="微软雅黑" w:eastAsia="微软雅黑" w:cs="微软雅黑"/>
          <w:sz w:val="24"/>
          <w:szCs w:val="24"/>
        </w:rPr>
        <w:t>，为合同</w:t>
      </w:r>
      <w:r>
        <w:rPr>
          <w:rFonts w:hint="eastAsia" w:ascii="微软雅黑" w:hAnsi="微软雅黑" w:eastAsia="微软雅黑" w:cs="微软雅黑"/>
          <w:sz w:val="24"/>
          <w:szCs w:val="24"/>
        </w:rPr>
        <w:t>签章页</w:t>
      </w:r>
      <w:r>
        <w:rPr>
          <w:rFonts w:hint="eastAsia" w:ascii="微软雅黑" w:hAnsi="微软雅黑" w:eastAsia="微软雅黑" w:cs="微软雅黑"/>
          <w:sz w:val="24"/>
          <w:szCs w:val="24"/>
        </w:rPr>
        <w:t>）</w:t>
      </w:r>
    </w:p>
    <w:p w14:paraId="4471F9F5">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br w:type="page"/>
      </w:r>
      <w:r>
        <w:rPr>
          <w:rFonts w:hint="eastAsia" w:ascii="微软雅黑" w:hAnsi="微软雅黑" w:eastAsia="微软雅黑" w:cs="微软雅黑"/>
          <w:sz w:val="24"/>
          <w:szCs w:val="24"/>
        </w:rPr>
        <w:t>（本页无正文</w:t>
      </w:r>
      <w:r>
        <w:rPr>
          <w:rFonts w:hint="eastAsia" w:ascii="微软雅黑" w:hAnsi="微软雅黑" w:eastAsia="微软雅黑" w:cs="微软雅黑"/>
          <w:sz w:val="24"/>
          <w:szCs w:val="24"/>
        </w:rPr>
        <w:t>，为合同</w:t>
      </w:r>
      <w:r>
        <w:rPr>
          <w:rFonts w:hint="eastAsia" w:ascii="微软雅黑" w:hAnsi="微软雅黑" w:eastAsia="微软雅黑" w:cs="微软雅黑"/>
          <w:sz w:val="24"/>
          <w:szCs w:val="24"/>
        </w:rPr>
        <w:t>签章页</w:t>
      </w:r>
      <w:r>
        <w:rPr>
          <w:rFonts w:hint="eastAsia" w:ascii="微软雅黑" w:hAnsi="微软雅黑" w:eastAsia="微软雅黑" w:cs="微软雅黑"/>
          <w:sz w:val="24"/>
          <w:szCs w:val="24"/>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C72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4261" w:type="dxa"/>
            <w:vAlign w:val="center"/>
          </w:tcPr>
          <w:p w14:paraId="7A262BBA">
            <w:pPr>
              <w:tabs>
                <w:tab w:val="left" w:pos="3060"/>
                <w:tab w:val="left" w:pos="8306"/>
              </w:tabs>
              <w:spacing w:line="360" w:lineRule="auto"/>
              <w:ind w:firstLine="424" w:firstLineChars="177"/>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rPr>
              <w:t>管理方</w:t>
            </w:r>
            <w:r>
              <w:rPr>
                <w:rFonts w:hint="eastAsia" w:ascii="微软雅黑" w:hAnsi="微软雅黑" w:eastAsia="微软雅黑" w:cs="微软雅黑"/>
                <w:sz w:val="24"/>
                <w:szCs w:val="24"/>
              </w:rPr>
              <w:t>）</w:t>
            </w:r>
          </w:p>
        </w:tc>
        <w:tc>
          <w:tcPr>
            <w:tcW w:w="4261" w:type="dxa"/>
            <w:vAlign w:val="center"/>
          </w:tcPr>
          <w:p w14:paraId="01055978">
            <w:pPr>
              <w:tabs>
                <w:tab w:val="left" w:pos="3060"/>
                <w:tab w:val="left" w:pos="8306"/>
              </w:tabs>
              <w:spacing w:line="360" w:lineRule="auto"/>
              <w:ind w:firstLine="424" w:firstLineChars="177"/>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rPr>
              <w:t>委托方</w:t>
            </w:r>
            <w:r>
              <w:rPr>
                <w:rFonts w:hint="eastAsia" w:ascii="微软雅黑" w:hAnsi="微软雅黑" w:eastAsia="微软雅黑" w:cs="微软雅黑"/>
                <w:sz w:val="24"/>
                <w:szCs w:val="24"/>
              </w:rPr>
              <w:t>）</w:t>
            </w:r>
          </w:p>
        </w:tc>
      </w:tr>
      <w:tr w14:paraId="5D99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6" w:hRule="atLeast"/>
        </w:trPr>
        <w:tc>
          <w:tcPr>
            <w:tcW w:w="4261" w:type="dxa"/>
          </w:tcPr>
          <w:p w14:paraId="0FA00E9A">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名称：</w:t>
            </w:r>
          </w:p>
          <w:p w14:paraId="5305F15B">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675D2902">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6CCFAF97">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通讯地址：</w:t>
            </w:r>
          </w:p>
          <w:p w14:paraId="2F5AF0DD">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p>
          <w:p w14:paraId="29749D62">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w:t>
            </w:r>
            <w:r>
              <w:rPr>
                <w:rFonts w:hint="eastAsia" w:ascii="微软雅黑" w:hAnsi="微软雅黑" w:eastAsia="微软雅黑" w:cs="微软雅黑"/>
                <w:sz w:val="24"/>
                <w:szCs w:val="24"/>
              </w:rPr>
              <w:t>：</w:t>
            </w:r>
          </w:p>
          <w:p w14:paraId="588F7521">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日</w:t>
            </w:r>
          </w:p>
        </w:tc>
        <w:tc>
          <w:tcPr>
            <w:tcW w:w="4261" w:type="dxa"/>
          </w:tcPr>
          <w:p w14:paraId="70403CA8">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姓名：</w:t>
            </w:r>
          </w:p>
          <w:p w14:paraId="38B1EC07">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居住地：</w:t>
            </w:r>
          </w:p>
          <w:p w14:paraId="36CD228E">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身份证号：</w:t>
            </w:r>
          </w:p>
          <w:p w14:paraId="7F44F849">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通许地址：</w:t>
            </w:r>
          </w:p>
          <w:p w14:paraId="7BA6A454">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p>
          <w:p w14:paraId="6039DB53">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w:t>
            </w:r>
          </w:p>
          <w:p w14:paraId="0E80D858">
            <w:pPr>
              <w:tabs>
                <w:tab w:val="left" w:pos="3060"/>
                <w:tab w:val="left" w:pos="8306"/>
              </w:tabs>
              <w:spacing w:line="360" w:lineRule="auto"/>
              <w:ind w:firstLine="424" w:firstLineChars="177"/>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日</w:t>
            </w:r>
          </w:p>
        </w:tc>
      </w:tr>
    </w:tbl>
    <w:p w14:paraId="02630F19">
      <w:pPr>
        <w:spacing w:line="360" w:lineRule="auto"/>
        <w:ind w:firstLine="480" w:firstLineChars="200"/>
        <w:rPr>
          <w:rFonts w:hint="eastAsia" w:ascii="微软雅黑" w:hAnsi="微软雅黑" w:eastAsia="微软雅黑" w:cs="微软雅黑"/>
          <w:sz w:val="24"/>
          <w:szCs w:val="24"/>
        </w:rPr>
      </w:pPr>
    </w:p>
    <w:p w14:paraId="3E9C4656">
      <w:pPr>
        <w:spacing w:before="100" w:beforeAutospacing="1" w:after="100" w:afterAutospacing="1" w:line="360" w:lineRule="auto"/>
        <w:jc w:val="left"/>
        <w:rPr>
          <w:rFonts w:hint="eastAsia" w:ascii="微软雅黑" w:hAnsi="微软雅黑" w:eastAsia="微软雅黑" w:cs="微软雅黑"/>
          <w:b/>
          <w:sz w:val="24"/>
          <w:szCs w:val="24"/>
        </w:rPr>
      </w:pPr>
      <w:r>
        <w:rPr>
          <w:rFonts w:hint="eastAsia" w:ascii="微软雅黑" w:hAnsi="微软雅黑" w:eastAsia="微软雅黑" w:cs="微软雅黑"/>
          <w:sz w:val="24"/>
          <w:szCs w:val="24"/>
        </w:rPr>
        <w:br w:type="page"/>
      </w:r>
      <w:r>
        <w:rPr>
          <w:rFonts w:hint="eastAsia" w:ascii="微软雅黑" w:hAnsi="微软雅黑" w:eastAsia="微软雅黑" w:cs="微软雅黑"/>
          <w:b/>
          <w:sz w:val="24"/>
          <w:szCs w:val="24"/>
        </w:rPr>
        <w:t>附件：</w:t>
      </w:r>
    </w:p>
    <w:p w14:paraId="6F82B7D6">
      <w:pPr>
        <w:spacing w:before="100" w:beforeAutospacing="1" w:after="100" w:afterAutospacing="1"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旅行社安全目标责任书</w:t>
      </w:r>
    </w:p>
    <w:p w14:paraId="3B4E38CA">
      <w:pPr>
        <w:tabs>
          <w:tab w:val="left" w:pos="3060"/>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了落实我社“安全第一、预防为主”的方针，进一步提高导游员的安全防范意识，最大程度降低意外事故对导游和游客的伤害，为游客营造一个安全、规范、有序、健康、和谐的旅游环境。我社按照《西安市旅游行业2009年安全生产暨消防安全目标责任书》要求，与导游员签订安全目标责任书。</w:t>
      </w:r>
    </w:p>
    <w:p w14:paraId="4C3217F7">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一、我社认真按照《导游人员管理条例》等有关规定，严格监督管理导游员。</w:t>
      </w:r>
    </w:p>
    <w:p w14:paraId="44B32E76">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二、导游员必须严格遵守我社有关规定，服从我社统一管理。</w:t>
      </w:r>
    </w:p>
    <w:p w14:paraId="47B2BAE3">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三、导游员在我社规定的场所引导游客参观游览过程中，应当就可能发生危及旅游者人身、财物安全的情况，向旅游者作出真实说明和明确警示，并按照我社的要求采取防止危害发生的措施。出现安全责任，由我社出面做协助工作。</w:t>
      </w:r>
    </w:p>
    <w:p w14:paraId="49D9BEE7">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四、导游员应及时反馈安全工作信息，与有关投诉的游客进行沟通，切实解决投诉，完善安全制度；及时处理和积极协助有关部门处理安全意外事故，依法保护客人的合法权益。</w:t>
      </w:r>
    </w:p>
    <w:p w14:paraId="1C6D44D3">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五、我社不定期组织导游安全法律、法规及规章制度的教育和宣传，使全体员工明确本社及自身的安全责任，并牢固树立安全意识，要求员工利用一切机会向游客宣传旅游安全知识。</w:t>
      </w:r>
    </w:p>
    <w:p w14:paraId="0483F37A">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六、在遇到不可抗力的因素导致旅行社和游客的损失时，导游员应当及时报告旅行社，并协助旅行社采取补救措施，不得扩大旅行社和游客的损失，不得损坏旅行社的声誉。</w:t>
      </w:r>
    </w:p>
    <w:p w14:paraId="79D1E93E">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七、导游员在请假不在岗期间，出现的一切安全问题，我社不承担任何责任。</w:t>
      </w:r>
    </w:p>
    <w:p w14:paraId="1B2F1844">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八、全体导游应警钟长鸣，通力合作，把各项安全措施落到实处，时刻做到安全旅游。不断加强旅游安全知识和相关法律的学习与掌握，牢固树立安全意识，积极采取预防事故发生的措施。</w:t>
      </w:r>
    </w:p>
    <w:p w14:paraId="07C8E8EB">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九、本安全目标责任书纳入导游员年度考核内容中，对未达到安全目标责任各项要求的导游，将取消我社各项优秀评选资格。</w:t>
      </w:r>
    </w:p>
    <w:p w14:paraId="312F1954">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十、本责任书在履行过程中如发生争议，双方应协商解决。</w:t>
      </w:r>
    </w:p>
    <w:p w14:paraId="3B51168D">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十一、本协议自双方签字起开始生效，有效期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p>
    <w:p w14:paraId="37D1FF3B">
      <w:pPr>
        <w:tabs>
          <w:tab w:val="left" w:pos="3060"/>
        </w:tabs>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本安全目标责任书为一式两份，甲乙双方各执一份，具有同等之法律效力。其它未尽事宜，由双方协商签订补充协议，补充协议、本协议附件与协议正文具有同等法律效力。</w:t>
      </w:r>
    </w:p>
    <w:p w14:paraId="68F365F5">
      <w:pPr>
        <w:tabs>
          <w:tab w:val="left" w:pos="3060"/>
        </w:tabs>
        <w:spacing w:line="360" w:lineRule="auto"/>
        <w:rPr>
          <w:rFonts w:hint="eastAsia" w:ascii="微软雅黑" w:hAnsi="微软雅黑" w:eastAsia="微软雅黑" w:cs="微软雅黑"/>
          <w:sz w:val="24"/>
          <w:szCs w:val="24"/>
        </w:rPr>
      </w:pPr>
    </w:p>
    <w:tbl>
      <w:tblPr>
        <w:tblStyle w:val="10"/>
        <w:tblW w:w="0" w:type="auto"/>
        <w:tblInd w:w="0" w:type="dxa"/>
        <w:tblLayout w:type="autofit"/>
        <w:tblCellMar>
          <w:top w:w="0" w:type="dxa"/>
          <w:left w:w="108" w:type="dxa"/>
          <w:bottom w:w="0" w:type="dxa"/>
          <w:right w:w="108" w:type="dxa"/>
        </w:tblCellMar>
      </w:tblPr>
      <w:tblGrid>
        <w:gridCol w:w="4261"/>
        <w:gridCol w:w="4261"/>
      </w:tblGrid>
      <w:tr w14:paraId="17A6F957">
        <w:tblPrEx>
          <w:tblCellMar>
            <w:top w:w="0" w:type="dxa"/>
            <w:left w:w="108" w:type="dxa"/>
            <w:bottom w:w="0" w:type="dxa"/>
            <w:right w:w="108" w:type="dxa"/>
          </w:tblCellMar>
        </w:tblPrEx>
        <w:tc>
          <w:tcPr>
            <w:tcW w:w="4261" w:type="dxa"/>
            <w:shd w:val="clear" w:color="auto" w:fill="auto"/>
          </w:tcPr>
          <w:p w14:paraId="57642AD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甲方：（签章）</w:t>
            </w:r>
          </w:p>
        </w:tc>
        <w:tc>
          <w:tcPr>
            <w:tcW w:w="4261" w:type="dxa"/>
            <w:shd w:val="clear" w:color="auto" w:fill="auto"/>
          </w:tcPr>
          <w:p w14:paraId="4D8CD75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乙方：（签章）</w:t>
            </w:r>
          </w:p>
        </w:tc>
      </w:tr>
      <w:tr w14:paraId="1851A57F">
        <w:tblPrEx>
          <w:tblCellMar>
            <w:top w:w="0" w:type="dxa"/>
            <w:left w:w="108" w:type="dxa"/>
            <w:bottom w:w="0" w:type="dxa"/>
            <w:right w:w="108" w:type="dxa"/>
          </w:tblCellMar>
        </w:tblPrEx>
        <w:tc>
          <w:tcPr>
            <w:tcW w:w="4261" w:type="dxa"/>
            <w:shd w:val="clear" w:color="auto" w:fill="auto"/>
          </w:tcPr>
          <w:p w14:paraId="7F4C31A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w:t>
            </w:r>
          </w:p>
        </w:tc>
        <w:tc>
          <w:tcPr>
            <w:tcW w:w="4261" w:type="dxa"/>
            <w:shd w:val="clear" w:color="auto" w:fill="auto"/>
          </w:tcPr>
          <w:p w14:paraId="5F9849F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w:t>
            </w:r>
          </w:p>
        </w:tc>
      </w:tr>
      <w:tr w14:paraId="4F21B0A0">
        <w:tblPrEx>
          <w:tblCellMar>
            <w:top w:w="0" w:type="dxa"/>
            <w:left w:w="108" w:type="dxa"/>
            <w:bottom w:w="0" w:type="dxa"/>
            <w:right w:w="108" w:type="dxa"/>
          </w:tblCellMar>
        </w:tblPrEx>
        <w:tc>
          <w:tcPr>
            <w:tcW w:w="4261" w:type="dxa"/>
            <w:shd w:val="clear" w:color="auto" w:fill="auto"/>
          </w:tcPr>
          <w:p w14:paraId="1D7E15E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签订时间：</w:t>
            </w:r>
          </w:p>
        </w:tc>
        <w:tc>
          <w:tcPr>
            <w:tcW w:w="4261" w:type="dxa"/>
            <w:shd w:val="clear" w:color="auto" w:fill="auto"/>
          </w:tcPr>
          <w:p w14:paraId="5115EBD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签订时间：</w:t>
            </w:r>
          </w:p>
        </w:tc>
      </w:tr>
    </w:tbl>
    <w:p w14:paraId="6BB924D0">
      <w:pPr>
        <w:tabs>
          <w:tab w:val="left" w:pos="3060"/>
        </w:tabs>
        <w:spacing w:line="360" w:lineRule="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2CEBA">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0</w:t>
    </w:r>
    <w:r>
      <w:rPr>
        <w:rStyle w:val="13"/>
      </w:rPr>
      <w:fldChar w:fldCharType="end"/>
    </w:r>
  </w:p>
  <w:p w14:paraId="6BDB9F19">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1E519">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7F83D9B6">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0B76E3"/>
    <w:rsid w:val="001373D3"/>
    <w:rsid w:val="00175BB1"/>
    <w:rsid w:val="001955E2"/>
    <w:rsid w:val="001A6708"/>
    <w:rsid w:val="001B3D5C"/>
    <w:rsid w:val="001C342E"/>
    <w:rsid w:val="0024664A"/>
    <w:rsid w:val="002564E2"/>
    <w:rsid w:val="00274A23"/>
    <w:rsid w:val="00284D29"/>
    <w:rsid w:val="002B0E87"/>
    <w:rsid w:val="003D1781"/>
    <w:rsid w:val="003D5FEE"/>
    <w:rsid w:val="004018AB"/>
    <w:rsid w:val="00416229"/>
    <w:rsid w:val="00447C4F"/>
    <w:rsid w:val="00466F81"/>
    <w:rsid w:val="004B5D33"/>
    <w:rsid w:val="004C1B00"/>
    <w:rsid w:val="004F3C4B"/>
    <w:rsid w:val="005477E3"/>
    <w:rsid w:val="00597558"/>
    <w:rsid w:val="005D0707"/>
    <w:rsid w:val="00606ADC"/>
    <w:rsid w:val="00630E5B"/>
    <w:rsid w:val="00633E3E"/>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91145"/>
    <w:rsid w:val="00AF0098"/>
    <w:rsid w:val="00B82F78"/>
    <w:rsid w:val="00B9045A"/>
    <w:rsid w:val="00B91F53"/>
    <w:rsid w:val="00BA4F7D"/>
    <w:rsid w:val="00BC0FF1"/>
    <w:rsid w:val="00C51648"/>
    <w:rsid w:val="00C660CC"/>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53B06174"/>
    <w:rsid w:val="64C57912"/>
    <w:rsid w:val="FF2BA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unhideWhenUsed/>
    <w:qFormat/>
    <w:uiPriority w:val="0"/>
    <w:pPr>
      <w:keepNext/>
      <w:keepLines/>
      <w:spacing w:before="260" w:after="260" w:line="416" w:lineRule="auto"/>
      <w:jc w:val="center"/>
      <w:outlineLvl w:val="2"/>
    </w:pPr>
    <w:rPr>
      <w:rFonts w:eastAsia="宋体"/>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0"/>
    <w:pPr>
      <w:jc w:val="left"/>
    </w:pPr>
  </w:style>
  <w:style w:type="paragraph" w:styleId="4">
    <w:name w:val="Plain Text"/>
    <w:basedOn w:val="1"/>
    <w:link w:val="19"/>
    <w:qFormat/>
    <w:uiPriority w:val="0"/>
    <w:rPr>
      <w:rFonts w:ascii="宋体" w:hAnsi="Courier New" w:eastAsia="宋体" w:cs="Courier New"/>
      <w:szCs w:val="21"/>
    </w:rPr>
  </w:style>
  <w:style w:type="paragraph" w:styleId="5">
    <w:name w:val="Body Text Indent 2"/>
    <w:basedOn w:val="1"/>
    <w:link w:val="23"/>
    <w:qFormat/>
    <w:uiPriority w:val="0"/>
    <w:pPr>
      <w:spacing w:after="120" w:line="480" w:lineRule="auto"/>
      <w:ind w:left="420" w:leftChars="200"/>
    </w:pPr>
    <w:rPr>
      <w:rFonts w:ascii="Times New Roman" w:hAnsi="Times New Roman" w:eastAsia="宋体" w:cs="Times New Roman"/>
      <w:szCs w:val="20"/>
    </w:rPr>
  </w:style>
  <w:style w:type="paragraph" w:styleId="6">
    <w:name w:val="Balloon Text"/>
    <w:basedOn w:val="1"/>
    <w:link w:val="22"/>
    <w:semiHidden/>
    <w:unhideWhenUsed/>
    <w:qFormat/>
    <w:uiPriority w:val="99"/>
    <w:rPr>
      <w:sz w:val="18"/>
      <w:szCs w:val="18"/>
    </w:rPr>
  </w:style>
  <w:style w:type="paragraph" w:styleId="7">
    <w:name w:val="footer"/>
    <w:basedOn w:val="1"/>
    <w:link w:val="1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9">
    <w:name w:val="Title"/>
    <w:basedOn w:val="1"/>
    <w:next w:val="1"/>
    <w:link w:val="21"/>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1">
    <w:name w:val="Table Grid"/>
    <w:basedOn w:val="10"/>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qFormat/>
    <w:uiPriority w:val="0"/>
    <w:rPr>
      <w:color w:val="0000FF"/>
      <w:u w:val="single"/>
    </w:rPr>
  </w:style>
  <w:style w:type="character" w:customStyle="1" w:styleId="15">
    <w:name w:val="标题 3 字符"/>
    <w:basedOn w:val="12"/>
    <w:link w:val="2"/>
    <w:qFormat/>
    <w:uiPriority w:val="0"/>
    <w:rPr>
      <w:rFonts w:eastAsia="宋体"/>
      <w:b/>
      <w:bCs/>
      <w:sz w:val="32"/>
      <w:szCs w:val="32"/>
    </w:rPr>
  </w:style>
  <w:style w:type="character" w:customStyle="1" w:styleId="16">
    <w:name w:val="页脚 字符"/>
    <w:basedOn w:val="12"/>
    <w:link w:val="7"/>
    <w:qFormat/>
    <w:uiPriority w:val="0"/>
    <w:rPr>
      <w:rFonts w:ascii="Times New Roman" w:hAnsi="Times New Roman" w:eastAsia="宋体" w:cs="Times New Roman"/>
      <w:sz w:val="18"/>
      <w:szCs w:val="18"/>
    </w:rPr>
  </w:style>
  <w:style w:type="paragraph" w:customStyle="1" w:styleId="17">
    <w:name w:val="普通 (Web)"/>
    <w:basedOn w:val="1"/>
    <w:link w:val="18"/>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8">
    <w:name w:val="普通 (Web) Char"/>
    <w:link w:val="17"/>
    <w:qFormat/>
    <w:uiPriority w:val="0"/>
    <w:rPr>
      <w:rFonts w:ascii="宋体" w:hAnsi="宋体" w:eastAsia="宋体" w:cs="Times New Roman"/>
      <w:color w:val="000000"/>
      <w:kern w:val="0"/>
      <w:sz w:val="24"/>
      <w:szCs w:val="24"/>
    </w:rPr>
  </w:style>
  <w:style w:type="character" w:customStyle="1" w:styleId="19">
    <w:name w:val="纯文本 字符"/>
    <w:basedOn w:val="12"/>
    <w:link w:val="4"/>
    <w:qFormat/>
    <w:uiPriority w:val="0"/>
    <w:rPr>
      <w:rFonts w:ascii="宋体" w:hAnsi="Courier New" w:eastAsia="宋体" w:cs="Courier New"/>
      <w:szCs w:val="21"/>
    </w:rPr>
  </w:style>
  <w:style w:type="paragraph" w:styleId="20">
    <w:name w:val="List Paragraph"/>
    <w:basedOn w:val="1"/>
    <w:qFormat/>
    <w:uiPriority w:val="34"/>
    <w:pPr>
      <w:ind w:firstLine="420" w:firstLineChars="200"/>
    </w:pPr>
  </w:style>
  <w:style w:type="character" w:customStyle="1" w:styleId="21">
    <w:name w:val="标题 字符"/>
    <w:basedOn w:val="12"/>
    <w:link w:val="9"/>
    <w:qFormat/>
    <w:uiPriority w:val="10"/>
    <w:rPr>
      <w:rFonts w:ascii="等线 Light" w:hAnsi="等线 Light" w:eastAsia="宋体" w:cs="Times New Roman"/>
      <w:b/>
      <w:bCs/>
      <w:kern w:val="0"/>
      <w:sz w:val="32"/>
      <w:szCs w:val="32"/>
    </w:rPr>
  </w:style>
  <w:style w:type="character" w:customStyle="1" w:styleId="22">
    <w:name w:val="批注框文本 字符"/>
    <w:basedOn w:val="12"/>
    <w:link w:val="6"/>
    <w:semiHidden/>
    <w:qFormat/>
    <w:uiPriority w:val="99"/>
    <w:rPr>
      <w:sz w:val="18"/>
      <w:szCs w:val="18"/>
    </w:rPr>
  </w:style>
  <w:style w:type="character" w:customStyle="1" w:styleId="23">
    <w:name w:val="正文文本缩进 2 字符"/>
    <w:basedOn w:val="12"/>
    <w:link w:val="5"/>
    <w:qFormat/>
    <w:uiPriority w:val="0"/>
    <w:rPr>
      <w:rFonts w:ascii="Times New Roman" w:hAnsi="Times New Roman" w:eastAsia="宋体" w:cs="Times New Roman"/>
      <w:szCs w:val="20"/>
    </w:rPr>
  </w:style>
  <w:style w:type="character" w:customStyle="1" w:styleId="24">
    <w:name w:val="批注文字 字符1"/>
    <w:link w:val="3"/>
    <w:qFormat/>
    <w:uiPriority w:val="0"/>
  </w:style>
  <w:style w:type="character" w:customStyle="1" w:styleId="25">
    <w:name w:val="批注文字 字符"/>
    <w:basedOn w:val="1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3801</Words>
  <Characters>3950</Characters>
  <Lines>25</Lines>
  <Paragraphs>7</Paragraphs>
  <TotalTime>4</TotalTime>
  <ScaleCrop>false</ScaleCrop>
  <LinksUpToDate>false</LinksUpToDate>
  <CharactersWithSpaces>4612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2019-03-16T14:16:00Z</dcterms:created>
  <dc:creator>雯 张</dc:creator>
  <cp:lastModifiedBy>豪</cp:lastModifiedBy>
  <dcterms:modified xsi:type="dcterms:W3CDTF">2026-03-22T07:40:37Z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A8C18224505512E0DD931068DD2295AC_42</vt:lpwstr>
  </property>
  <property fmtid="{D5CDD505-2E9C-101B-9397-08002B2CF9AE}" pid="4" name="KSOTemplateDocerSaveRecord">
    <vt:lpwstr>eyJoZGlkIjoiNTg0MzMyNGJiMDEzODc5ODNlMGVjODViOWRkZjg1MDgiLCJ1c2VySWQiOiIxMjc2Mzc3NjgxIn0=</vt:lpwstr>
  </property>
</Properties>
</file>