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808283">
      <w:pPr>
        <w:spacing w:line="360" w:lineRule="auto"/>
        <w:jc w:val="right"/>
        <w:rPr>
          <w:rFonts w:hint="eastAsia" w:ascii="微软雅黑" w:hAnsi="微软雅黑" w:eastAsia="微软雅黑" w:cs="微软雅黑"/>
          <w:b/>
          <w:color w:val="000000" w:themeColor="text1"/>
          <w:sz w:val="24"/>
          <w:szCs w:val="24"/>
          <w14:textFill>
            <w14:solidFill>
              <w14:schemeClr w14:val="tx1"/>
            </w14:solidFill>
          </w14:textFill>
        </w:rPr>
      </w:pPr>
      <w:bookmarkStart w:id="0" w:name="_GoBack"/>
    </w:p>
    <w:p w14:paraId="24BAE7D7">
      <w:pPr>
        <w:spacing w:line="360" w:lineRule="auto"/>
        <w:jc w:val="center"/>
        <w:rPr>
          <w:rFonts w:hint="eastAsia" w:ascii="微软雅黑" w:hAnsi="微软雅黑" w:eastAsia="微软雅黑" w:cs="微软雅黑"/>
          <w:b/>
          <w:color w:val="000000" w:themeColor="text1"/>
          <w:spacing w:val="57"/>
          <w:sz w:val="24"/>
          <w:szCs w:val="24"/>
          <w14:textFill>
            <w14:solidFill>
              <w14:schemeClr w14:val="tx1"/>
            </w14:solidFill>
          </w14:textFill>
        </w:rPr>
      </w:pPr>
      <w:r>
        <w:rPr>
          <w:rFonts w:hint="eastAsia" w:ascii="微软雅黑" w:hAnsi="微软雅黑" w:eastAsia="微软雅黑" w:cs="微软雅黑"/>
          <w:b/>
          <w:color w:val="000000" w:themeColor="text1"/>
          <w:spacing w:val="57"/>
          <w:sz w:val="24"/>
          <w:szCs w:val="24"/>
          <w14:textFill>
            <w14:solidFill>
              <w14:schemeClr w14:val="tx1"/>
            </w14:solidFill>
          </w14:textFill>
        </w:rPr>
        <w:t>尽职调查委托服务合同</w:t>
      </w:r>
    </w:p>
    <w:p w14:paraId="716FE2F4">
      <w:pPr>
        <w:widowControl/>
        <w:spacing w:line="360" w:lineRule="auto"/>
        <w:ind w:firstLine="480" w:firstLineChars="200"/>
        <w:rPr>
          <w:rFonts w:hint="eastAsia" w:ascii="微软雅黑" w:hAnsi="微软雅黑" w:eastAsia="微软雅黑" w:cs="微软雅黑"/>
          <w:bCs/>
          <w:color w:val="000000" w:themeColor="text1"/>
          <w:kern w:val="0"/>
          <w:sz w:val="24"/>
          <w:szCs w:val="24"/>
          <w14:textFill>
            <w14:solidFill>
              <w14:schemeClr w14:val="tx1"/>
            </w14:solidFill>
          </w14:textFill>
        </w:rPr>
      </w:pPr>
    </w:p>
    <w:p w14:paraId="1777669D">
      <w:pPr>
        <w:widowControl/>
        <w:spacing w:line="360" w:lineRule="auto"/>
        <w:ind w:firstLine="480" w:firstLineChars="200"/>
        <w:rPr>
          <w:rFonts w:hint="eastAsia" w:ascii="微软雅黑" w:hAnsi="微软雅黑" w:eastAsia="微软雅黑" w:cs="微软雅黑"/>
          <w:b/>
          <w:bCs w:val="0"/>
          <w:color w:val="000000" w:themeColor="text1"/>
          <w:kern w:val="0"/>
          <w:sz w:val="24"/>
          <w:szCs w:val="24"/>
          <w14:textFill>
            <w14:solidFill>
              <w14:schemeClr w14:val="tx1"/>
            </w14:solidFill>
          </w14:textFill>
        </w:rPr>
      </w:pPr>
      <w:r>
        <w:rPr>
          <w:rFonts w:hint="eastAsia" w:ascii="微软雅黑" w:hAnsi="微软雅黑" w:eastAsia="微软雅黑" w:cs="微软雅黑"/>
          <w:b/>
          <w:bCs w:val="0"/>
          <w:color w:val="000000" w:themeColor="text1"/>
          <w:kern w:val="0"/>
          <w:sz w:val="24"/>
          <w:szCs w:val="24"/>
          <w14:textFill>
            <w14:solidFill>
              <w14:schemeClr w14:val="tx1"/>
            </w14:solidFill>
          </w14:textFill>
        </w:rPr>
        <w:t xml:space="preserve">甲方（委托方）： </w:t>
      </w:r>
    </w:p>
    <w:p w14:paraId="200279E8">
      <w:pPr>
        <w:spacing w:line="360" w:lineRule="auto"/>
        <w:ind w:firstLine="480" w:firstLineChars="200"/>
        <w:rPr>
          <w:rFonts w:hint="eastAsia" w:ascii="微软雅黑" w:hAnsi="微软雅黑" w:eastAsia="微软雅黑" w:cs="微软雅黑"/>
          <w:b/>
          <w:bCs w:val="0"/>
          <w:color w:val="000000" w:themeColor="text1"/>
          <w:kern w:val="0"/>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7B613A1C">
      <w:pPr>
        <w:widowControl/>
        <w:spacing w:line="360" w:lineRule="auto"/>
        <w:ind w:firstLine="480" w:firstLineChars="200"/>
        <w:rPr>
          <w:rFonts w:hint="eastAsia" w:ascii="微软雅黑" w:hAnsi="微软雅黑" w:eastAsia="微软雅黑" w:cs="微软雅黑"/>
          <w:b/>
          <w:bCs w:val="0"/>
          <w:color w:val="000000" w:themeColor="text1"/>
          <w:kern w:val="0"/>
          <w:sz w:val="24"/>
          <w:szCs w:val="24"/>
          <w14:textFill>
            <w14:solidFill>
              <w14:schemeClr w14:val="tx1"/>
            </w14:solidFill>
          </w14:textFill>
        </w:rPr>
      </w:pPr>
    </w:p>
    <w:p w14:paraId="34219240">
      <w:pPr>
        <w:widowControl/>
        <w:spacing w:line="360" w:lineRule="auto"/>
        <w:ind w:firstLine="480" w:firstLineChars="200"/>
        <w:rPr>
          <w:rFonts w:hint="eastAsia" w:ascii="微软雅黑" w:hAnsi="微软雅黑" w:eastAsia="微软雅黑" w:cs="微软雅黑"/>
          <w:b/>
          <w:bCs w:val="0"/>
          <w:color w:val="000000" w:themeColor="text1"/>
          <w:kern w:val="0"/>
          <w:sz w:val="24"/>
          <w:szCs w:val="24"/>
          <w14:textFill>
            <w14:solidFill>
              <w14:schemeClr w14:val="tx1"/>
            </w14:solidFill>
          </w14:textFill>
        </w:rPr>
      </w:pPr>
      <w:r>
        <w:rPr>
          <w:rFonts w:hint="eastAsia" w:ascii="微软雅黑" w:hAnsi="微软雅黑" w:eastAsia="微软雅黑" w:cs="微软雅黑"/>
          <w:b/>
          <w:bCs w:val="0"/>
          <w:color w:val="000000" w:themeColor="text1"/>
          <w:kern w:val="0"/>
          <w:sz w:val="24"/>
          <w:szCs w:val="24"/>
          <w14:textFill>
            <w14:solidFill>
              <w14:schemeClr w14:val="tx1"/>
            </w14:solidFill>
          </w14:textFill>
        </w:rPr>
        <w:t xml:space="preserve">乙方（受托方）： </w:t>
      </w:r>
    </w:p>
    <w:p w14:paraId="497CC374">
      <w:pPr>
        <w:widowControl/>
        <w:spacing w:line="360" w:lineRule="auto"/>
        <w:ind w:firstLine="480" w:firstLineChars="200"/>
        <w:rPr>
          <w:rFonts w:hint="eastAsia" w:ascii="微软雅黑" w:hAnsi="微软雅黑" w:eastAsia="微软雅黑" w:cs="微软雅黑"/>
          <w:b/>
          <w:bCs w:val="0"/>
          <w:color w:val="000000" w:themeColor="text1"/>
          <w:kern w:val="0"/>
          <w:sz w:val="24"/>
          <w:szCs w:val="24"/>
          <w14:textFill>
            <w14:solidFill>
              <w14:schemeClr w14:val="tx1"/>
            </w14:solidFill>
          </w14:textFill>
        </w:rPr>
      </w:pPr>
      <w:r>
        <w:rPr>
          <w:rFonts w:hint="eastAsia" w:ascii="微软雅黑" w:hAnsi="微软雅黑" w:eastAsia="微软雅黑" w:cs="微软雅黑"/>
          <w:b/>
          <w:bCs w:val="0"/>
          <w:color w:val="000000" w:themeColor="text1"/>
          <w:sz w:val="24"/>
          <w:szCs w:val="24"/>
          <w14:textFill>
            <w14:solidFill>
              <w14:schemeClr w14:val="tx1"/>
            </w14:solidFill>
          </w14:textFill>
        </w:rPr>
        <w:t>统一社会信用代码：</w:t>
      </w:r>
    </w:p>
    <w:p w14:paraId="1B09FCD9">
      <w:pPr>
        <w:pStyle w:val="2"/>
        <w:spacing w:line="360" w:lineRule="auto"/>
        <w:ind w:firstLine="0" w:firstLineChars="0"/>
        <w:jc w:val="both"/>
        <w:rPr>
          <w:rFonts w:hint="eastAsia" w:ascii="微软雅黑" w:hAnsi="微软雅黑" w:eastAsia="微软雅黑" w:cs="微软雅黑"/>
          <w:color w:val="000000" w:themeColor="text1"/>
          <w:kern w:val="44"/>
          <w:sz w:val="24"/>
          <w:szCs w:val="24"/>
          <w14:textFill>
            <w14:solidFill>
              <w14:schemeClr w14:val="tx1"/>
            </w14:solidFill>
          </w14:textFill>
        </w:rPr>
      </w:pPr>
    </w:p>
    <w:p w14:paraId="774D326A">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经协商一致，就甲方委托乙方提供项目尽职调查服务事宜，签订本合同。</w:t>
      </w:r>
    </w:p>
    <w:p w14:paraId="6033DF2A">
      <w:pPr>
        <w:pStyle w:val="2"/>
        <w:spacing w:line="360" w:lineRule="auto"/>
        <w:ind w:left="0" w:firstLine="480" w:firstLineChars="200"/>
        <w:jc w:val="both"/>
        <w:rPr>
          <w:rFonts w:hint="eastAsia" w:ascii="微软雅黑" w:hAnsi="微软雅黑" w:eastAsia="微软雅黑" w:cs="微软雅黑"/>
          <w:b/>
          <w:color w:val="000000" w:themeColor="text1"/>
          <w:kern w:val="44"/>
          <w:sz w:val="24"/>
          <w:szCs w:val="24"/>
          <w14:textFill>
            <w14:solidFill>
              <w14:schemeClr w14:val="tx1"/>
            </w14:solidFill>
          </w14:textFill>
        </w:rPr>
      </w:pPr>
      <w:r>
        <w:rPr>
          <w:rFonts w:hint="eastAsia" w:ascii="微软雅黑" w:hAnsi="微软雅黑" w:eastAsia="微软雅黑" w:cs="微软雅黑"/>
          <w:b/>
          <w:color w:val="000000" w:themeColor="text1"/>
          <w:kern w:val="44"/>
          <w:sz w:val="24"/>
          <w:szCs w:val="24"/>
          <w14:textFill>
            <w14:solidFill>
              <w14:schemeClr w14:val="tx1"/>
            </w14:solidFill>
          </w14:textFill>
        </w:rPr>
        <w:t>一、服务内容</w:t>
      </w:r>
    </w:p>
    <w:p w14:paraId="17878552">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1、甲方委托乙方就</w:t>
      </w:r>
      <w:r>
        <w:rPr>
          <w:rFonts w:hint="eastAsia" w:ascii="微软雅黑" w:hAnsi="微软雅黑" w:eastAsia="微软雅黑" w:cs="微软雅黑"/>
          <w:color w:val="000000" w:themeColor="text1"/>
          <w:kern w:val="44"/>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44"/>
          <w:sz w:val="24"/>
          <w:szCs w:val="24"/>
          <w14:textFill>
            <w14:solidFill>
              <w14:schemeClr w14:val="tx1"/>
            </w14:solidFill>
          </w14:textFill>
        </w:rPr>
        <w:t>项目进行尽职调查。</w:t>
      </w:r>
    </w:p>
    <w:p w14:paraId="2F755D26">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2、乙方项目负责人在项目实施过程中负责整体协调、工作安排、执行进度、工作质量、内外沟通、工作成果的协调、跟进与监管、最终提交《尽职调查报告》和协助甲方完成交易文件或协议文件编制和增值服务的完成。</w:t>
      </w:r>
    </w:p>
    <w:p w14:paraId="43D89E57">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3、依据甲方提供的《尽职调查清单》的内容和要求开展尽职调查工作，获取的相关资料信息须与甲方项目组充分共享。</w:t>
      </w:r>
    </w:p>
    <w:p w14:paraId="2D2BA338">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4、根据专业或行业惯例，在进行调研评估、尽职调查时应当包含的内容没有在甲方提供的调查清单中明确提出的，视为包含在调查范围内。</w:t>
      </w:r>
    </w:p>
    <w:p w14:paraId="0E583A79">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5、乙方在项目工作包括开展尽职调查工作过程中，须对关键的资料信息进行科学、客观的整理分析，并对相关咨询问题予以重点分析提出建议意见。如发现重大问题或风险点，须及时与甲方进行讨论分析，提出解决方案。</w:t>
      </w:r>
    </w:p>
    <w:p w14:paraId="342A679C">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6、在没有其他因素导致项目工作延后的前提下，乙方须按时、按质、按量完成甲方要求的服务内容并提交《尽职调查报告》，完成乙方承诺的增值服务。</w:t>
      </w:r>
    </w:p>
    <w:p w14:paraId="4011F7FD">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p>
    <w:p w14:paraId="3DF08DCA">
      <w:pPr>
        <w:pStyle w:val="2"/>
        <w:spacing w:line="360" w:lineRule="auto"/>
        <w:ind w:left="0" w:firstLine="480" w:firstLineChars="200"/>
        <w:jc w:val="both"/>
        <w:rPr>
          <w:rFonts w:hint="eastAsia" w:ascii="微软雅黑" w:hAnsi="微软雅黑" w:eastAsia="微软雅黑" w:cs="微软雅黑"/>
          <w:b/>
          <w:color w:val="000000" w:themeColor="text1"/>
          <w:kern w:val="44"/>
          <w:sz w:val="24"/>
          <w:szCs w:val="24"/>
          <w14:textFill>
            <w14:solidFill>
              <w14:schemeClr w14:val="tx1"/>
            </w14:solidFill>
          </w14:textFill>
        </w:rPr>
      </w:pPr>
      <w:r>
        <w:rPr>
          <w:rFonts w:hint="eastAsia" w:ascii="微软雅黑" w:hAnsi="微软雅黑" w:eastAsia="微软雅黑" w:cs="微软雅黑"/>
          <w:b/>
          <w:color w:val="000000" w:themeColor="text1"/>
          <w:kern w:val="44"/>
          <w:sz w:val="24"/>
          <w:szCs w:val="24"/>
          <w14:textFill>
            <w14:solidFill>
              <w14:schemeClr w14:val="tx1"/>
            </w14:solidFill>
          </w14:textFill>
        </w:rPr>
        <w:t>二、服务成果与提交方式及时间</w:t>
      </w:r>
    </w:p>
    <w:p w14:paraId="618E8019">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1、服务成果：依据服务清单内容和要求，乙方启动工作后，双方协商达成一致后，按照协商时间内完成资料收集并提交《尽职调查报告》，提供乙方承诺的增值服务。以上报告和文件覆盖内容应全面、充分，包含对重大问题或风险的分析和意见建议。如需要，乙方须按照甲方要求提交原始调查资料。</w:t>
      </w:r>
    </w:p>
    <w:p w14:paraId="2BB6A0C4">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2、服务期限</w:t>
      </w:r>
    </w:p>
    <w:p w14:paraId="384F40C1">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服务时间：本协议签订之日起至提交《尽职调查报告》并完成乙方承诺的增值服务，并通过甲方验收之日止。</w:t>
      </w:r>
    </w:p>
    <w:p w14:paraId="425A2E1F">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3、成果提交时间：在甲方通知时间内提交报告，有特殊原因延迟提交须征得甲方同意。</w:t>
      </w:r>
    </w:p>
    <w:p w14:paraId="3C95556A">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p>
    <w:p w14:paraId="3F4CA58D">
      <w:pPr>
        <w:pStyle w:val="2"/>
        <w:spacing w:line="360" w:lineRule="auto"/>
        <w:ind w:left="0" w:firstLine="480" w:firstLineChars="200"/>
        <w:jc w:val="both"/>
        <w:rPr>
          <w:rFonts w:hint="eastAsia" w:ascii="微软雅黑" w:hAnsi="微软雅黑" w:eastAsia="微软雅黑" w:cs="微软雅黑"/>
          <w:b/>
          <w:color w:val="000000" w:themeColor="text1"/>
          <w:kern w:val="44"/>
          <w:sz w:val="24"/>
          <w:szCs w:val="24"/>
          <w14:textFill>
            <w14:solidFill>
              <w14:schemeClr w14:val="tx1"/>
            </w14:solidFill>
          </w14:textFill>
        </w:rPr>
      </w:pPr>
      <w:r>
        <w:rPr>
          <w:rFonts w:hint="eastAsia" w:ascii="微软雅黑" w:hAnsi="微软雅黑" w:eastAsia="微软雅黑" w:cs="微软雅黑"/>
          <w:b/>
          <w:color w:val="000000" w:themeColor="text1"/>
          <w:kern w:val="44"/>
          <w:sz w:val="24"/>
          <w:szCs w:val="24"/>
          <w14:textFill>
            <w14:solidFill>
              <w14:schemeClr w14:val="tx1"/>
            </w14:solidFill>
          </w14:textFill>
        </w:rPr>
        <w:t>三、成果验收</w:t>
      </w:r>
    </w:p>
    <w:p w14:paraId="1E66CA59">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1、项目成果由甲方从针对性、科学性、可行性、前瞻性、系统性五个方面进行验收。</w:t>
      </w:r>
    </w:p>
    <w:p w14:paraId="28607642">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2、若乙方提供的项目成果未能通过甲方验收，则乙方应当按照评委整改要求进行整改，直至项目成果通过验收。</w:t>
      </w:r>
    </w:p>
    <w:p w14:paraId="6A06E47D">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3、甲方组织的项目验收不超过两次，如乙方超过两次未能通过甲方项目成果验收，则视为乙方于本合同无实际履行能力，甲方有权单方解除合同，不予支付乙方任何费用，并要求乙方承担违约责任。</w:t>
      </w:r>
    </w:p>
    <w:p w14:paraId="0FD7542C">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p>
    <w:p w14:paraId="460C4569">
      <w:pPr>
        <w:pStyle w:val="2"/>
        <w:spacing w:line="360" w:lineRule="auto"/>
        <w:ind w:left="0" w:firstLine="480" w:firstLineChars="200"/>
        <w:jc w:val="both"/>
        <w:rPr>
          <w:rFonts w:hint="eastAsia" w:ascii="微软雅黑" w:hAnsi="微软雅黑" w:eastAsia="微软雅黑" w:cs="微软雅黑"/>
          <w:b/>
          <w:color w:val="000000" w:themeColor="text1"/>
          <w:kern w:val="44"/>
          <w:sz w:val="24"/>
          <w:szCs w:val="24"/>
          <w14:textFill>
            <w14:solidFill>
              <w14:schemeClr w14:val="tx1"/>
            </w14:solidFill>
          </w14:textFill>
        </w:rPr>
      </w:pPr>
      <w:r>
        <w:rPr>
          <w:rFonts w:hint="eastAsia" w:ascii="微软雅黑" w:hAnsi="微软雅黑" w:eastAsia="微软雅黑" w:cs="微软雅黑"/>
          <w:b/>
          <w:color w:val="000000" w:themeColor="text1"/>
          <w:kern w:val="44"/>
          <w:sz w:val="24"/>
          <w:szCs w:val="24"/>
          <w14:textFill>
            <w14:solidFill>
              <w14:schemeClr w14:val="tx1"/>
            </w14:solidFill>
          </w14:textFill>
        </w:rPr>
        <w:t>四、甲方义务</w:t>
      </w:r>
    </w:p>
    <w:p w14:paraId="707CD863">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 xml:space="preserve">1、甲方应当推动项目的开展，与乙方项目组定期或不定期交流、参与重要研讨、评审，对通过评审的成果给予推行; </w:t>
      </w:r>
    </w:p>
    <w:p w14:paraId="04C3750D">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2、按双方商定的时间、内容提供需要的资料;</w:t>
      </w:r>
    </w:p>
    <w:p w14:paraId="717A1F54">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3、指派合适的人员参加项目工作;</w:t>
      </w:r>
    </w:p>
    <w:p w14:paraId="3073BE1D">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 xml:space="preserve">4、甲方应确保项目相关人员对本项目的配合; </w:t>
      </w:r>
    </w:p>
    <w:p w14:paraId="2935D9D7">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5、甲方应严格遵守双方项目小组共同制定的工作计划，如果由于甲方的原因影响项目工作进度，而乙方又完成了相应的工作，甲方应按照本协议的付款方式如期支付相应的项目费用。</w:t>
      </w:r>
    </w:p>
    <w:p w14:paraId="3ECE4944">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p>
    <w:p w14:paraId="7714E160">
      <w:pPr>
        <w:pStyle w:val="2"/>
        <w:spacing w:line="360" w:lineRule="auto"/>
        <w:ind w:left="0" w:firstLine="480" w:firstLineChars="200"/>
        <w:jc w:val="both"/>
        <w:rPr>
          <w:rFonts w:hint="eastAsia" w:ascii="微软雅黑" w:hAnsi="微软雅黑" w:eastAsia="微软雅黑" w:cs="微软雅黑"/>
          <w:b/>
          <w:color w:val="000000" w:themeColor="text1"/>
          <w:kern w:val="44"/>
          <w:sz w:val="24"/>
          <w:szCs w:val="24"/>
          <w14:textFill>
            <w14:solidFill>
              <w14:schemeClr w14:val="tx1"/>
            </w14:solidFill>
          </w14:textFill>
        </w:rPr>
      </w:pPr>
      <w:r>
        <w:rPr>
          <w:rFonts w:hint="eastAsia" w:ascii="微软雅黑" w:hAnsi="微软雅黑" w:eastAsia="微软雅黑" w:cs="微软雅黑"/>
          <w:b/>
          <w:color w:val="000000" w:themeColor="text1"/>
          <w:kern w:val="44"/>
          <w:sz w:val="24"/>
          <w:szCs w:val="24"/>
          <w14:textFill>
            <w14:solidFill>
              <w14:schemeClr w14:val="tx1"/>
            </w14:solidFill>
          </w14:textFill>
        </w:rPr>
        <w:t>五、乙方义务</w:t>
      </w:r>
    </w:p>
    <w:p w14:paraId="5778AC2C">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 xml:space="preserve">1、乙方应与甲方保持有效沟通，确保项目如期完成，项目成果及实施结果达到项目目标的要求; </w:t>
      </w:r>
    </w:p>
    <w:p w14:paraId="53F47EA7">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2、根据项目需要，指派合适的项目组成员包括顾问</w:t>
      </w:r>
      <w:r>
        <w:rPr>
          <w:rFonts w:hint="eastAsia" w:ascii="微软雅黑" w:hAnsi="微软雅黑" w:eastAsia="微软雅黑" w:cs="微软雅黑"/>
          <w:color w:val="000000" w:themeColor="text1"/>
          <w:kern w:val="44"/>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44"/>
          <w:sz w:val="24"/>
          <w:szCs w:val="24"/>
          <w14:textFill>
            <w14:solidFill>
              <w14:schemeClr w14:val="tx1"/>
            </w14:solidFill>
          </w14:textFill>
        </w:rPr>
        <w:t>名、专家</w:t>
      </w:r>
      <w:r>
        <w:rPr>
          <w:rFonts w:hint="eastAsia" w:ascii="微软雅黑" w:hAnsi="微软雅黑" w:eastAsia="微软雅黑" w:cs="微软雅黑"/>
          <w:color w:val="000000" w:themeColor="text1"/>
          <w:kern w:val="44"/>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44"/>
          <w:sz w:val="24"/>
          <w:szCs w:val="24"/>
          <w14:textFill>
            <w14:solidFill>
              <w14:schemeClr w14:val="tx1"/>
            </w14:solidFill>
          </w14:textFill>
        </w:rPr>
        <w:t>名、助理</w:t>
      </w:r>
      <w:r>
        <w:rPr>
          <w:rFonts w:hint="eastAsia" w:ascii="微软雅黑" w:hAnsi="微软雅黑" w:eastAsia="微软雅黑" w:cs="微软雅黑"/>
          <w:color w:val="000000" w:themeColor="text1"/>
          <w:kern w:val="44"/>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44"/>
          <w:sz w:val="24"/>
          <w:szCs w:val="24"/>
          <w14:textFill>
            <w14:solidFill>
              <w14:schemeClr w14:val="tx1"/>
            </w14:solidFill>
          </w14:textFill>
        </w:rPr>
        <w:t>名，具体详见附件服务名单，未经甲方书面同意，乙方不得擅自更换项目负责人和咨询顾问。</w:t>
      </w:r>
    </w:p>
    <w:p w14:paraId="1173CB16">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3、乙方应确保其项目团队人员的工作质量与精力的投入；</w:t>
      </w:r>
    </w:p>
    <w:p w14:paraId="570777A6">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 xml:space="preserve">4、负责项目研究方法确定、工具开发及方案研究; </w:t>
      </w:r>
    </w:p>
    <w:p w14:paraId="2F299F18">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 xml:space="preserve">5、按计划提交项目成果; </w:t>
      </w:r>
    </w:p>
    <w:p w14:paraId="0411ABCE">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 xml:space="preserve">6、按方案对项目理念及技能进行培训; </w:t>
      </w:r>
    </w:p>
    <w:p w14:paraId="66880607">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7、配合甲方作好项目有关的宣贯、培训等工作；</w:t>
      </w:r>
    </w:p>
    <w:p w14:paraId="28CCE9B4">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8、保证调查数据和调查结论的真实性、合法性、有效性和准确性；</w:t>
      </w:r>
    </w:p>
    <w:p w14:paraId="63781C0D">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9、未经甲方书面同意，乙方不得将本合同的权利义务的全部或部分以任何方式转让给第三人。</w:t>
      </w:r>
    </w:p>
    <w:p w14:paraId="3E9DA13E">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p>
    <w:p w14:paraId="17F1EFCF">
      <w:pPr>
        <w:pStyle w:val="2"/>
        <w:spacing w:line="360" w:lineRule="auto"/>
        <w:ind w:left="0" w:firstLine="480" w:firstLineChars="200"/>
        <w:jc w:val="both"/>
        <w:rPr>
          <w:rFonts w:hint="eastAsia" w:ascii="微软雅黑" w:hAnsi="微软雅黑" w:eastAsia="微软雅黑" w:cs="微软雅黑"/>
          <w:b/>
          <w:color w:val="000000" w:themeColor="text1"/>
          <w:kern w:val="44"/>
          <w:sz w:val="24"/>
          <w:szCs w:val="24"/>
          <w14:textFill>
            <w14:solidFill>
              <w14:schemeClr w14:val="tx1"/>
            </w14:solidFill>
          </w14:textFill>
        </w:rPr>
      </w:pPr>
      <w:r>
        <w:rPr>
          <w:rFonts w:hint="eastAsia" w:ascii="微软雅黑" w:hAnsi="微软雅黑" w:eastAsia="微软雅黑" w:cs="微软雅黑"/>
          <w:b/>
          <w:color w:val="000000" w:themeColor="text1"/>
          <w:kern w:val="44"/>
          <w:sz w:val="24"/>
          <w:szCs w:val="24"/>
          <w14:textFill>
            <w14:solidFill>
              <w14:schemeClr w14:val="tx1"/>
            </w14:solidFill>
          </w14:textFill>
        </w:rPr>
        <w:t>六、关于本项目服务成果知识产权的约定</w:t>
      </w:r>
    </w:p>
    <w:p w14:paraId="1AD2A199">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1、自本合同生效之日起，对在本项目范围内由乙方根据甲方提出的业务需求而定制开发的相关服务成果的知识产权包括但不限于著作权、专利权等权利以及相关权利归甲方所有。</w:t>
      </w:r>
    </w:p>
    <w:p w14:paraId="0CDE3764">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2、乙方应当保证所交付的服务成果或其中任何一部分没有侵犯第三方的知识产权或其它权利。如有第三方声称甲方使用乙方所提交的服务成果侵犯了第三方的知识产权或其它权利的，乙方不仅应直接参与纠纷的解决，还应承担由此产生的全部法律责任；如相关服务成果或其任何部分被依法认定为侵犯第三人的合法权利，乙方应尽力予以弥补，或取得相关授权(由乙方支付相关费用)，以使甲方能够继续享有本合同所规定的各项权利；如给甲方造成损失的，乙方应承担赔偿全部损失的责任。</w:t>
      </w:r>
    </w:p>
    <w:p w14:paraId="4BDDB402">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p>
    <w:p w14:paraId="11BE1FBC">
      <w:pPr>
        <w:pStyle w:val="2"/>
        <w:spacing w:line="360" w:lineRule="auto"/>
        <w:ind w:left="0" w:firstLine="480" w:firstLineChars="200"/>
        <w:jc w:val="both"/>
        <w:rPr>
          <w:rFonts w:hint="eastAsia" w:ascii="微软雅黑" w:hAnsi="微软雅黑" w:eastAsia="微软雅黑" w:cs="微软雅黑"/>
          <w:b/>
          <w:color w:val="000000" w:themeColor="text1"/>
          <w:kern w:val="44"/>
          <w:sz w:val="24"/>
          <w:szCs w:val="24"/>
          <w14:textFill>
            <w14:solidFill>
              <w14:schemeClr w14:val="tx1"/>
            </w14:solidFill>
          </w14:textFill>
        </w:rPr>
      </w:pPr>
      <w:r>
        <w:rPr>
          <w:rFonts w:hint="eastAsia" w:ascii="微软雅黑" w:hAnsi="微软雅黑" w:eastAsia="微软雅黑" w:cs="微软雅黑"/>
          <w:b/>
          <w:color w:val="000000" w:themeColor="text1"/>
          <w:kern w:val="44"/>
          <w:sz w:val="24"/>
          <w:szCs w:val="24"/>
          <w14:textFill>
            <w14:solidFill>
              <w14:schemeClr w14:val="tx1"/>
            </w14:solidFill>
          </w14:textFill>
        </w:rPr>
        <w:t>七、项目费用及支付方式</w:t>
      </w:r>
    </w:p>
    <w:p w14:paraId="1131C9E4">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1、本合同的服务费用金额为¥</w:t>
      </w:r>
      <w:r>
        <w:rPr>
          <w:rFonts w:hint="eastAsia" w:ascii="微软雅黑" w:hAnsi="微软雅黑" w:eastAsia="微软雅黑" w:cs="微软雅黑"/>
          <w:color w:val="000000" w:themeColor="text1"/>
          <w:kern w:val="44"/>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44"/>
          <w:sz w:val="24"/>
          <w:szCs w:val="24"/>
          <w14:textFill>
            <w14:solidFill>
              <w14:schemeClr w14:val="tx1"/>
            </w14:solidFill>
          </w14:textFill>
        </w:rPr>
        <w:t>元（</w:t>
      </w:r>
      <w:r>
        <w:rPr>
          <w:rFonts w:hint="eastAsia" w:ascii="微软雅黑" w:hAnsi="微软雅黑" w:eastAsia="微软雅黑" w:cs="微软雅黑"/>
          <w:color w:val="000000" w:themeColor="text1"/>
          <w:kern w:val="44"/>
          <w:sz w:val="24"/>
          <w:szCs w:val="24"/>
          <w:lang w:val="en-US" w:eastAsia="zh-CN"/>
          <w14:textFill>
            <w14:solidFill>
              <w14:schemeClr w14:val="tx1"/>
            </w14:solidFill>
          </w14:textFill>
        </w:rPr>
        <w:t>大写：人民币</w:t>
      </w:r>
      <w:r>
        <w:rPr>
          <w:rFonts w:hint="eastAsia" w:ascii="微软雅黑" w:hAnsi="微软雅黑" w:eastAsia="微软雅黑" w:cs="微软雅黑"/>
          <w:color w:val="000000" w:themeColor="text1"/>
          <w:kern w:val="44"/>
          <w:sz w:val="24"/>
          <w:szCs w:val="24"/>
          <w14:textFill>
            <w14:solidFill>
              <w14:schemeClr w14:val="tx1"/>
            </w14:solidFill>
          </w14:textFill>
        </w:rPr>
        <w:t xml:space="preserve">        </w:t>
      </w:r>
      <w:r>
        <w:rPr>
          <w:rFonts w:hint="eastAsia" w:ascii="微软雅黑" w:hAnsi="微软雅黑" w:eastAsia="微软雅黑" w:cs="微软雅黑"/>
          <w:color w:val="000000" w:themeColor="text1"/>
          <w:kern w:val="44"/>
          <w:sz w:val="24"/>
          <w:szCs w:val="24"/>
          <w:lang w:val="en-US" w:eastAsia="zh-CN"/>
          <w14:textFill>
            <w14:solidFill>
              <w14:schemeClr w14:val="tx1"/>
            </w14:solidFill>
          </w14:textFill>
        </w:rPr>
        <w:t>元</w:t>
      </w:r>
      <w:r>
        <w:rPr>
          <w:rFonts w:hint="eastAsia" w:ascii="微软雅黑" w:hAnsi="微软雅黑" w:eastAsia="微软雅黑" w:cs="微软雅黑"/>
          <w:color w:val="000000" w:themeColor="text1"/>
          <w:kern w:val="44"/>
          <w:sz w:val="24"/>
          <w:szCs w:val="24"/>
          <w14:textFill>
            <w14:solidFill>
              <w14:schemeClr w14:val="tx1"/>
            </w14:solidFill>
          </w14:textFill>
        </w:rPr>
        <w:t>）。该服务费已包含但不限于人工、交通、差旅、食宿、税金、返工等乙方完成本合同内容甲方获得所有完整报告所应支付的全部费用，同时已经包含在履行合同过程中可能增加的额外工作所需费用。</w:t>
      </w:r>
    </w:p>
    <w:p w14:paraId="07E5160B">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2、甲方支付方式：</w:t>
      </w:r>
    </w:p>
    <w:p w14:paraId="24B40CA6">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3、乙方收款账户信息：</w:t>
      </w:r>
    </w:p>
    <w:p w14:paraId="53440136">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44"/>
          <w:sz w:val="24"/>
          <w:szCs w:val="24"/>
          <w:lang w:val="en-US" w:eastAsia="zh-CN"/>
          <w14:textFill>
            <w14:solidFill>
              <w14:schemeClr w14:val="tx1"/>
            </w14:solidFill>
          </w14:textFill>
        </w:rPr>
        <w:t>开户名：</w:t>
      </w:r>
    </w:p>
    <w:p w14:paraId="788FAC44">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44"/>
          <w:sz w:val="24"/>
          <w:szCs w:val="24"/>
          <w:lang w:val="en-US" w:eastAsia="zh-CN"/>
          <w14:textFill>
            <w14:solidFill>
              <w14:schemeClr w14:val="tx1"/>
            </w14:solidFill>
          </w14:textFill>
        </w:rPr>
        <w:t>开户行：</w:t>
      </w:r>
    </w:p>
    <w:p w14:paraId="3307BB4D">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lang w:val="en-US" w:eastAsia="zh-CN"/>
          <w14:textFill>
            <w14:solidFill>
              <w14:schemeClr w14:val="tx1"/>
            </w14:solidFill>
          </w14:textFill>
        </w:rPr>
      </w:pPr>
      <w:r>
        <w:rPr>
          <w:rFonts w:hint="eastAsia" w:ascii="微软雅黑" w:hAnsi="微软雅黑" w:eastAsia="微软雅黑" w:cs="微软雅黑"/>
          <w:color w:val="000000" w:themeColor="text1"/>
          <w:kern w:val="44"/>
          <w:sz w:val="24"/>
          <w:szCs w:val="24"/>
          <w:lang w:val="en-US" w:eastAsia="zh-CN"/>
          <w14:textFill>
            <w14:solidFill>
              <w14:schemeClr w14:val="tx1"/>
            </w14:solidFill>
          </w14:textFill>
        </w:rPr>
        <w:t>银行账号：</w:t>
      </w:r>
    </w:p>
    <w:p w14:paraId="3C22D6F7">
      <w:pPr>
        <w:tabs>
          <w:tab w:val="left" w:pos="720"/>
          <w:tab w:val="left" w:pos="8295"/>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4、支付方式：</w:t>
      </w:r>
      <w:r>
        <w:rPr>
          <w:rFonts w:hint="eastAsia" w:ascii="微软雅黑" w:hAnsi="微软雅黑" w:eastAsia="微软雅黑" w:cs="微软雅黑"/>
          <w:color w:val="000000" w:themeColor="text1"/>
          <w:sz w:val="24"/>
          <w:szCs w:val="24"/>
          <w14:textFill>
            <w14:solidFill>
              <w14:schemeClr w14:val="tx1"/>
            </w14:solidFill>
          </w14:textFill>
        </w:rPr>
        <w:t>合同签订，且双方确认项目实施方案后</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个工作日内支付</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%的合同款；提交《尽职调查报告》经验收通过后</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个工作日内支付</w:t>
      </w:r>
      <w:r>
        <w:rPr>
          <w:rFonts w:hint="eastAsia" w:ascii="微软雅黑" w:hAnsi="微软雅黑" w:eastAsia="微软雅黑" w:cs="微软雅黑"/>
          <w:color w:val="000000" w:themeColor="text1"/>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sz w:val="24"/>
          <w:szCs w:val="24"/>
          <w14:textFill>
            <w14:solidFill>
              <w14:schemeClr w14:val="tx1"/>
            </w14:solidFill>
          </w14:textFill>
        </w:rPr>
        <w:t>%合同。</w:t>
      </w:r>
    </w:p>
    <w:p w14:paraId="76751801">
      <w:pPr>
        <w:tabs>
          <w:tab w:val="left" w:pos="720"/>
          <w:tab w:val="left" w:pos="8295"/>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5、在甲方付款前，乙方需提供准确无误且合法有效的发票，甲方收到发票后付款。</w:t>
      </w:r>
    </w:p>
    <w:p w14:paraId="70844875">
      <w:pPr>
        <w:tabs>
          <w:tab w:val="left" w:pos="720"/>
          <w:tab w:val="left" w:pos="8295"/>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55F4126">
      <w:pPr>
        <w:pStyle w:val="2"/>
        <w:spacing w:line="360" w:lineRule="auto"/>
        <w:ind w:left="0" w:firstLine="480" w:firstLineChars="200"/>
        <w:jc w:val="both"/>
        <w:rPr>
          <w:rFonts w:hint="eastAsia" w:ascii="微软雅黑" w:hAnsi="微软雅黑" w:eastAsia="微软雅黑" w:cs="微软雅黑"/>
          <w:b/>
          <w:color w:val="000000" w:themeColor="text1"/>
          <w:kern w:val="44"/>
          <w:sz w:val="24"/>
          <w:szCs w:val="24"/>
          <w14:textFill>
            <w14:solidFill>
              <w14:schemeClr w14:val="tx1"/>
            </w14:solidFill>
          </w14:textFill>
        </w:rPr>
      </w:pPr>
      <w:r>
        <w:rPr>
          <w:rFonts w:hint="eastAsia" w:ascii="微软雅黑" w:hAnsi="微软雅黑" w:eastAsia="微软雅黑" w:cs="微软雅黑"/>
          <w:b/>
          <w:color w:val="000000" w:themeColor="text1"/>
          <w:kern w:val="44"/>
          <w:sz w:val="24"/>
          <w:szCs w:val="24"/>
          <w14:textFill>
            <w14:solidFill>
              <w14:schemeClr w14:val="tx1"/>
            </w14:solidFill>
          </w14:textFill>
        </w:rPr>
        <w:t>八、免责条款</w:t>
      </w:r>
    </w:p>
    <w:p w14:paraId="41272FB5">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微软雅黑" w:hAnsi="微软雅黑" w:eastAsia="微软雅黑" w:cs="微软雅黑"/>
          <w:color w:val="000000" w:themeColor="text1"/>
          <w:sz w:val="24"/>
          <w:szCs w:val="24"/>
          <w:lang w:eastAsia="zh-CN"/>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当发生不可抗力，包括但不限于自然灾害、战争、动乱、罢工等；或出现法律法规、政府政策变化；或意外事件，导致本合同不能继续履行，遭受免责事件的一方应通知对方、采取相应措施避免损失的扩大，并在免责事项发生后向对方提供相关部门的书面证明文件，方可免除相应的违约责任。</w:t>
      </w:r>
    </w:p>
    <w:p w14:paraId="7121FB96">
      <w:pPr>
        <w:keepNext w:val="0"/>
        <w:keepLines w:val="0"/>
        <w:widowControl w:val="0"/>
        <w:suppressLineNumbers w:val="0"/>
        <w:autoSpaceDE w:val="0"/>
        <w:autoSpaceDN w:val="0"/>
        <w:spacing w:before="0" w:beforeAutospacing="0" w:after="0" w:afterAutospacing="0" w:line="360" w:lineRule="auto"/>
        <w:ind w:left="0" w:righ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2．当出现双方在订立合同时无法预见的、不属于商业风险的重大变化，双方不能协商变更合同导致合同解除的，双方互不承担违约责任。</w:t>
      </w:r>
    </w:p>
    <w:p w14:paraId="7F116789">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3．因治安管理案件或刑事犯罪案件，包括但不限于故意伤害、爆炸、偷盗、抢劫等导致人身伤害或财产损失的，由行为人承担责任</w:t>
      </w:r>
      <w:r>
        <w:rPr>
          <w:rFonts w:hint="eastAsia" w:ascii="微软雅黑" w:hAnsi="微软雅黑" w:eastAsia="微软雅黑" w:cs="微软雅黑"/>
          <w:color w:val="000000" w:themeColor="text1"/>
          <w:kern w:val="44"/>
          <w:sz w:val="24"/>
          <w:szCs w:val="24"/>
          <w14:textFill>
            <w14:solidFill>
              <w14:schemeClr w14:val="tx1"/>
            </w14:solidFill>
          </w14:textFill>
        </w:rPr>
        <w:t>。</w:t>
      </w:r>
    </w:p>
    <w:p w14:paraId="6D4D9BA5">
      <w:pPr>
        <w:pStyle w:val="2"/>
        <w:spacing w:line="360" w:lineRule="auto"/>
        <w:ind w:left="0" w:leftChars="0" w:firstLine="0" w:firstLineChars="0"/>
        <w:jc w:val="both"/>
        <w:rPr>
          <w:rFonts w:hint="eastAsia" w:ascii="微软雅黑" w:hAnsi="微软雅黑" w:eastAsia="微软雅黑" w:cs="微软雅黑"/>
          <w:color w:val="000000" w:themeColor="text1"/>
          <w:kern w:val="44"/>
          <w:sz w:val="24"/>
          <w:szCs w:val="24"/>
          <w14:textFill>
            <w14:solidFill>
              <w14:schemeClr w14:val="tx1"/>
            </w14:solidFill>
          </w14:textFill>
        </w:rPr>
      </w:pPr>
    </w:p>
    <w:p w14:paraId="2150CE01">
      <w:pPr>
        <w:pStyle w:val="2"/>
        <w:spacing w:line="360" w:lineRule="auto"/>
        <w:ind w:left="0" w:firstLine="480" w:firstLineChars="200"/>
        <w:jc w:val="both"/>
        <w:rPr>
          <w:rFonts w:hint="eastAsia" w:ascii="微软雅黑" w:hAnsi="微软雅黑" w:eastAsia="微软雅黑" w:cs="微软雅黑"/>
          <w:b/>
          <w:color w:val="000000" w:themeColor="text1"/>
          <w:kern w:val="44"/>
          <w:sz w:val="24"/>
          <w:szCs w:val="24"/>
          <w14:textFill>
            <w14:solidFill>
              <w14:schemeClr w14:val="tx1"/>
            </w14:solidFill>
          </w14:textFill>
        </w:rPr>
      </w:pPr>
      <w:r>
        <w:rPr>
          <w:rFonts w:hint="eastAsia" w:ascii="微软雅黑" w:hAnsi="微软雅黑" w:eastAsia="微软雅黑" w:cs="微软雅黑"/>
          <w:b/>
          <w:color w:val="000000" w:themeColor="text1"/>
          <w:kern w:val="44"/>
          <w:sz w:val="24"/>
          <w:szCs w:val="24"/>
          <w:lang w:eastAsia="zh-CN"/>
          <w14:textFill>
            <w14:solidFill>
              <w14:schemeClr w14:val="tx1"/>
            </w14:solidFill>
          </w14:textFill>
        </w:rPr>
        <w:t>九</w:t>
      </w:r>
      <w:r>
        <w:rPr>
          <w:rFonts w:hint="eastAsia" w:ascii="微软雅黑" w:hAnsi="微软雅黑" w:eastAsia="微软雅黑" w:cs="微软雅黑"/>
          <w:b/>
          <w:color w:val="000000" w:themeColor="text1"/>
          <w:kern w:val="44"/>
          <w:sz w:val="24"/>
          <w:szCs w:val="24"/>
          <w14:textFill>
            <w14:solidFill>
              <w14:schemeClr w14:val="tx1"/>
            </w14:solidFill>
          </w14:textFill>
        </w:rPr>
        <w:t xml:space="preserve">、违约责任 </w:t>
      </w:r>
    </w:p>
    <w:p w14:paraId="61ABFDB8">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1、甲、乙双方应当严格按照本合同的约定，履行双方的权利和义务，否则，守约方有权追究违约方的违约责任。</w:t>
      </w:r>
    </w:p>
    <w:p w14:paraId="0F5F532D">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2、乙方出现下列情形时应当承担违约责任：</w:t>
      </w:r>
    </w:p>
    <w:p w14:paraId="6831A1AB">
      <w:pPr>
        <w:pStyle w:val="2"/>
        <w:numPr>
          <w:ilvl w:val="0"/>
          <w:numId w:val="1"/>
        </w:numPr>
        <w:spacing w:line="360" w:lineRule="auto"/>
        <w:ind w:left="0" w:leftChars="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未按照合同约定或甲方确定的期限提交项目成果；</w:t>
      </w:r>
    </w:p>
    <w:p w14:paraId="02C45264">
      <w:pPr>
        <w:pStyle w:val="2"/>
        <w:numPr>
          <w:ilvl w:val="0"/>
          <w:numId w:val="1"/>
        </w:numPr>
        <w:spacing w:line="360" w:lineRule="auto"/>
        <w:ind w:left="0" w:leftChars="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工作成果未能通过甲方的项目评审或者虽通过评审但报告内容存在瑕疵、错误给甲方造成损失的；</w:t>
      </w:r>
    </w:p>
    <w:p w14:paraId="38CF7E68">
      <w:pPr>
        <w:pStyle w:val="2"/>
        <w:numPr>
          <w:ilvl w:val="0"/>
          <w:numId w:val="1"/>
        </w:numPr>
        <w:spacing w:line="360" w:lineRule="auto"/>
        <w:ind w:left="0" w:leftChars="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单方解除、终止履行合同的；</w:t>
      </w:r>
    </w:p>
    <w:p w14:paraId="3FD03516">
      <w:pPr>
        <w:pStyle w:val="2"/>
        <w:numPr>
          <w:ilvl w:val="0"/>
          <w:numId w:val="1"/>
        </w:numPr>
        <w:spacing w:line="360" w:lineRule="auto"/>
        <w:ind w:left="0" w:leftChars="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违反有关保密义务、知识产权保证的；</w:t>
      </w:r>
    </w:p>
    <w:p w14:paraId="16FC0A62">
      <w:pPr>
        <w:pStyle w:val="2"/>
        <w:numPr>
          <w:ilvl w:val="0"/>
          <w:numId w:val="1"/>
        </w:numPr>
        <w:spacing w:line="360" w:lineRule="auto"/>
        <w:ind w:left="0" w:leftChars="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违反合同有关分包、转包约定的；</w:t>
      </w:r>
    </w:p>
    <w:p w14:paraId="7039CC6D">
      <w:pPr>
        <w:pStyle w:val="2"/>
        <w:numPr>
          <w:ilvl w:val="0"/>
          <w:numId w:val="1"/>
        </w:numPr>
        <w:spacing w:line="360" w:lineRule="auto"/>
        <w:ind w:left="0" w:leftChars="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未履行合同其他义务或承诺的。</w:t>
      </w:r>
    </w:p>
    <w:p w14:paraId="605DEFD8">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3、乙方出现违约情形时，甲方有权选择下列一项或者几项措施追究乙方的违约责任：</w:t>
      </w:r>
    </w:p>
    <w:p w14:paraId="0DD4F54A">
      <w:pPr>
        <w:pStyle w:val="2"/>
        <w:numPr>
          <w:ilvl w:val="0"/>
          <w:numId w:val="2"/>
        </w:numPr>
        <w:spacing w:line="360" w:lineRule="auto"/>
        <w:ind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不再支付乙方任何费用，已经支付的乙方应当退还；</w:t>
      </w:r>
    </w:p>
    <w:p w14:paraId="25C793B7">
      <w:pPr>
        <w:pStyle w:val="2"/>
        <w:numPr>
          <w:ilvl w:val="0"/>
          <w:numId w:val="2"/>
        </w:numPr>
        <w:spacing w:line="360" w:lineRule="auto"/>
        <w:ind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要求乙方按项目总费用的 20%支付违约金；</w:t>
      </w:r>
    </w:p>
    <w:p w14:paraId="2EBF50DD">
      <w:pPr>
        <w:pStyle w:val="2"/>
        <w:numPr>
          <w:ilvl w:val="0"/>
          <w:numId w:val="2"/>
        </w:numPr>
        <w:spacing w:line="360" w:lineRule="auto"/>
        <w:ind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选择解除本合同，终止与乙方的合作；</w:t>
      </w:r>
    </w:p>
    <w:p w14:paraId="0E7C1402">
      <w:pPr>
        <w:pStyle w:val="2"/>
        <w:numPr>
          <w:ilvl w:val="0"/>
          <w:numId w:val="2"/>
        </w:numPr>
        <w:spacing w:line="360" w:lineRule="auto"/>
        <w:ind w:left="0" w:leftChars="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要求乙方赔偿因此对甲方所造成的全部损失，甲方损失包含但不限于：直接损失、预期利益损失、甲方向第三人支付的违约金、赔偿金及甲方为索赔支出的诉讼费、律师费、交通费、保全费、保全担保费、鉴定费、公证费、评估费等全部费用。该赔偿不以乙方收取的报酬为限。</w:t>
      </w:r>
    </w:p>
    <w:p w14:paraId="67C8A9E0">
      <w:pPr>
        <w:pStyle w:val="2"/>
        <w:numPr>
          <w:ilvl w:val="0"/>
          <w:numId w:val="3"/>
        </w:numPr>
        <w:spacing w:line="360" w:lineRule="auto"/>
        <w:ind w:left="0" w:firstLine="480" w:firstLineChars="200"/>
        <w:jc w:val="both"/>
        <w:rPr>
          <w:rFonts w:hint="eastAsia" w:ascii="微软雅黑" w:hAnsi="微软雅黑" w:eastAsia="微软雅黑" w:cs="微软雅黑"/>
          <w:color w:val="000000" w:themeColor="text1"/>
          <w:sz w:val="24"/>
          <w:szCs w:val="24"/>
          <w:lang w:val="en-US" w:eastAsia="zh-Hans"/>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按本合同约定或法律规定甲方选择单方解除本合同的，</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自甲方的书面通知到达乙方之日合同解除，乙方对合同解除有异议的，可以向</w:t>
      </w:r>
      <w:r>
        <w:rPr>
          <w:rFonts w:hint="eastAsia" w:ascii="微软雅黑" w:hAnsi="微软雅黑" w:eastAsia="微软雅黑" w:cs="微软雅黑"/>
          <w:color w:val="000000" w:themeColor="text1"/>
          <w:sz w:val="24"/>
          <w:szCs w:val="24"/>
          <w:lang w:val="en-US" w:eastAsia="zh-CN"/>
          <w14:textFill>
            <w14:solidFill>
              <w14:schemeClr w14:val="tx1"/>
            </w14:solidFill>
          </w14:textFill>
        </w:rPr>
        <w:t>蚌埠仲裁委</w:t>
      </w:r>
      <w:r>
        <w:rPr>
          <w:rFonts w:hint="eastAsia" w:ascii="微软雅黑" w:hAnsi="微软雅黑" w:eastAsia="微软雅黑" w:cs="微软雅黑"/>
          <w:color w:val="000000" w:themeColor="text1"/>
          <w:sz w:val="24"/>
          <w:szCs w:val="24"/>
          <w:lang w:val="en-US" w:eastAsia="zh-Hans"/>
          <w14:textFill>
            <w14:solidFill>
              <w14:schemeClr w14:val="tx1"/>
            </w14:solidFill>
          </w14:textFill>
        </w:rPr>
        <w:t>确认解除的效力。</w:t>
      </w:r>
    </w:p>
    <w:p w14:paraId="149CB01E">
      <w:pPr>
        <w:pStyle w:val="2"/>
        <w:numPr>
          <w:ilvl w:val="0"/>
          <w:numId w:val="0"/>
        </w:numPr>
        <w:spacing w:line="360" w:lineRule="auto"/>
        <w:ind w:left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5、当甲方不按本合同约定向乙方支付费用时，每逾期一天应向乙方支付应付未付金额万分之五的违约金。</w:t>
      </w:r>
    </w:p>
    <w:p w14:paraId="7AE875E5">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p>
    <w:p w14:paraId="4F3B66B7">
      <w:pPr>
        <w:pStyle w:val="2"/>
        <w:spacing w:line="360" w:lineRule="auto"/>
        <w:ind w:left="0" w:firstLine="480" w:firstLineChars="200"/>
        <w:jc w:val="both"/>
        <w:rPr>
          <w:rFonts w:hint="eastAsia" w:ascii="微软雅黑" w:hAnsi="微软雅黑" w:eastAsia="微软雅黑" w:cs="微软雅黑"/>
          <w:b/>
          <w:color w:val="000000" w:themeColor="text1"/>
          <w:kern w:val="44"/>
          <w:sz w:val="24"/>
          <w:szCs w:val="24"/>
          <w14:textFill>
            <w14:solidFill>
              <w14:schemeClr w14:val="tx1"/>
            </w14:solidFill>
          </w14:textFill>
        </w:rPr>
      </w:pPr>
      <w:r>
        <w:rPr>
          <w:rFonts w:hint="eastAsia" w:ascii="微软雅黑" w:hAnsi="微软雅黑" w:eastAsia="微软雅黑" w:cs="微软雅黑"/>
          <w:b/>
          <w:color w:val="000000" w:themeColor="text1"/>
          <w:kern w:val="44"/>
          <w:sz w:val="24"/>
          <w:szCs w:val="24"/>
          <w14:textFill>
            <w14:solidFill>
              <w14:schemeClr w14:val="tx1"/>
            </w14:solidFill>
          </w14:textFill>
        </w:rPr>
        <w:t>十、其他约定</w:t>
      </w:r>
    </w:p>
    <w:p w14:paraId="7F5753D6">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1、如因项目被取消本合同不再具有实施必要的，双方按照乙方实际完成的工作量结算后本合同终止。</w:t>
      </w:r>
    </w:p>
    <w:p w14:paraId="15C58321">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2、本合同经甲乙双方法定代表人或授权代表签字并加盖公司公章后生效。合同一式</w:t>
      </w:r>
      <w:r>
        <w:rPr>
          <w:rFonts w:hint="eastAsia" w:ascii="微软雅黑" w:hAnsi="微软雅黑" w:eastAsia="微软雅黑" w:cs="微软雅黑"/>
          <w:color w:val="000000" w:themeColor="text1"/>
          <w:kern w:val="44"/>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44"/>
          <w:sz w:val="24"/>
          <w:szCs w:val="24"/>
          <w14:textFill>
            <w14:solidFill>
              <w14:schemeClr w14:val="tx1"/>
            </w14:solidFill>
          </w14:textFill>
        </w:rPr>
        <w:t>份，甲方执</w:t>
      </w:r>
      <w:r>
        <w:rPr>
          <w:rFonts w:hint="eastAsia" w:ascii="微软雅黑" w:hAnsi="微软雅黑" w:eastAsia="微软雅黑" w:cs="微软雅黑"/>
          <w:color w:val="000000" w:themeColor="text1"/>
          <w:kern w:val="44"/>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44"/>
          <w:sz w:val="24"/>
          <w:szCs w:val="24"/>
          <w14:textFill>
            <w14:solidFill>
              <w14:schemeClr w14:val="tx1"/>
            </w14:solidFill>
          </w14:textFill>
        </w:rPr>
        <w:t>份、乙方执</w:t>
      </w:r>
      <w:r>
        <w:rPr>
          <w:rFonts w:hint="eastAsia" w:ascii="微软雅黑" w:hAnsi="微软雅黑" w:eastAsia="微软雅黑" w:cs="微软雅黑"/>
          <w:color w:val="000000" w:themeColor="text1"/>
          <w:kern w:val="44"/>
          <w:sz w:val="24"/>
          <w:szCs w:val="24"/>
          <w:u w:val="single"/>
          <w14:textFill>
            <w14:solidFill>
              <w14:schemeClr w14:val="tx1"/>
            </w14:solidFill>
          </w14:textFill>
        </w:rPr>
        <w:t xml:space="preserve">  </w:t>
      </w:r>
      <w:r>
        <w:rPr>
          <w:rFonts w:hint="eastAsia" w:ascii="微软雅黑" w:hAnsi="微软雅黑" w:eastAsia="微软雅黑" w:cs="微软雅黑"/>
          <w:color w:val="000000" w:themeColor="text1"/>
          <w:kern w:val="44"/>
          <w:sz w:val="24"/>
          <w:szCs w:val="24"/>
          <w14:textFill>
            <w14:solidFill>
              <w14:schemeClr w14:val="tx1"/>
            </w14:solidFill>
          </w14:textFill>
        </w:rPr>
        <w:t>份，均具有同等法律效力。</w:t>
      </w:r>
    </w:p>
    <w:p w14:paraId="6954D475">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3、本合同签订后对合同条款的修改或对未尽事宜的补充，经双方协商一致后签订书面协议方为有效。</w:t>
      </w:r>
    </w:p>
    <w:p w14:paraId="57AB6D3A">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4、合同履行过程中发生争议的，双方协商解决，协商不成或不愿协商的，任何一方均应向甲方所在地人民法院提起诉讼。</w:t>
      </w:r>
    </w:p>
    <w:p w14:paraId="4120C6C1">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5、</w:t>
      </w: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送达地址以及送达条款</w:t>
      </w:r>
    </w:p>
    <w:p w14:paraId="181343AC">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（1）送达地址以及方式</w:t>
      </w:r>
    </w:p>
    <w:p w14:paraId="17DB193E">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w:t>
      </w:r>
    </w:p>
    <w:p w14:paraId="30E1500D">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甲方确认送达地址如下：</w:t>
      </w:r>
    </w:p>
    <w:p w14:paraId="6D6CE499">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55477BB9">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0D789832">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26964053">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7DD5D453">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甲方电子送达方式如下：</w:t>
      </w:r>
    </w:p>
    <w:p w14:paraId="5B186AD7">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73A27700">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39E484FB">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2BA67DFB">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            。</w:t>
      </w:r>
    </w:p>
    <w:p w14:paraId="6717B65C">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p>
    <w:p w14:paraId="793945F8">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乙方确认送达地址如下：</w:t>
      </w:r>
    </w:p>
    <w:p w14:paraId="18CA6B7A">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地址：    省    市    区/县    路    号，</w:t>
      </w:r>
    </w:p>
    <w:p w14:paraId="40329EAF">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邮编：            ，</w:t>
      </w:r>
    </w:p>
    <w:p w14:paraId="42D879EC">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联系人：      ，</w:t>
      </w:r>
    </w:p>
    <w:p w14:paraId="5CEBA340">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联系电话：      -            。</w:t>
      </w:r>
    </w:p>
    <w:p w14:paraId="7D766B28">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乙方电子送达方式如下：</w:t>
      </w:r>
    </w:p>
    <w:p w14:paraId="31BA76FD">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手机短信：                  </w:t>
      </w:r>
    </w:p>
    <w:p w14:paraId="2BBF2F22">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传真：      -            </w:t>
      </w:r>
    </w:p>
    <w:p w14:paraId="275CA9E3">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 xml:space="preserve">即时通讯账号（微信号）：                  </w:t>
      </w:r>
    </w:p>
    <w:p w14:paraId="4E669F6C">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电子邮箱：</w:t>
      </w:r>
    </w:p>
    <w:p w14:paraId="0612A157">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送达方式</w:t>
      </w:r>
    </w:p>
    <w:p w14:paraId="0699317A">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双方同意，本合同项下的通知、函件、诉讼文书等文件，以下列方式送达对方：</w:t>
      </w:r>
    </w:p>
    <w:p w14:paraId="08C4DB5C">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直接送达：将文件送至对方指定的送达地址，视为已送达；</w:t>
      </w:r>
    </w:p>
    <w:p w14:paraId="0AB87099">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邮寄送达：将文件通过挂号信、特快专递等方式寄至对方指定的送达地址，以邮戳日期为准，视为已送达；</w:t>
      </w:r>
    </w:p>
    <w:p w14:paraId="004A9460">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电子送达：将文件通过电子邮件、短信、微信等方式发送至对方指定的电子邮箱、手机号码等，发送成功即视为已送达。</w:t>
      </w:r>
    </w:p>
    <w:p w14:paraId="52C6CF0B">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（2）送达条款</w:t>
      </w:r>
    </w:p>
    <w:p w14:paraId="2A236ABC">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本送达条款适用于合同履行期间及合同纠纷解决过程中的所有文件送达。</w:t>
      </w:r>
    </w:p>
    <w:p w14:paraId="7CD5DEB3">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029D5CF">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双方在合同履行过程中由双方共同明示或默示确认的合同约定外的送达地址和联系方式不影响送达效力。</w:t>
      </w:r>
    </w:p>
    <w:p w14:paraId="0D09D885">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双方认同电子送达效力，合同履行过程中或法院、仲裁委员会按照法律或适时有效的仲裁规则需要进行电子送达的，内容自进入双方接收系统之日起，视为送达成功。</w:t>
      </w:r>
    </w:p>
    <w:p w14:paraId="28E9D3C8">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双方应当保证本合同约定送达地址以及联系方式为有效地址及联系方式。一方变更送达信息的，应在变更后一日内通知对方，未及时通知的，发送方按照原约定方式送达，视为送达成功。</w:t>
      </w:r>
    </w:p>
    <w:p w14:paraId="23A945C7">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双方发生争议，关于裁判机构的送达文书，接收方存在以下行为之一的，蚌埠仲裁委员会有权依据法律和适时有效的仲裁规则规定进行送达，法律与仲裁规则规定程序完成之日，视为送达成功：</w:t>
      </w:r>
    </w:p>
    <w:p w14:paraId="387B3396">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擅自变更送达地址及信息且未及时通知对方的；</w:t>
      </w:r>
    </w:p>
    <w:p w14:paraId="668504C2">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送达地址与信息同工商登记信息不一致且未及时更改的；</w:t>
      </w:r>
    </w:p>
    <w:p w14:paraId="4096A2F3">
      <w:pPr>
        <w:pStyle w:val="2"/>
        <w:spacing w:line="360" w:lineRule="auto"/>
        <w:ind w:left="0" w:firstLine="480" w:firstLineChars="200"/>
        <w:jc w:val="both"/>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故意不接收蚌埠仲裁委员会送达文书的；</w:t>
      </w:r>
    </w:p>
    <w:p w14:paraId="2C721591">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0"/>
          <w:sz w:val="24"/>
          <w:szCs w:val="24"/>
          <w:lang w:val="en-US" w:eastAsia="zh-CN" w:bidi="ar"/>
          <w14:textFill>
            <w14:solidFill>
              <w14:schemeClr w14:val="tx1"/>
            </w14:solidFill>
          </w14:textFill>
        </w:rPr>
        <w:t>因接收方过错造成无法正常送达的其他行为。</w:t>
      </w:r>
    </w:p>
    <w:p w14:paraId="78483CD3">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p>
    <w:p w14:paraId="13E671A3">
      <w:pPr>
        <w:pStyle w:val="2"/>
        <w:spacing w:line="360" w:lineRule="auto"/>
        <w:ind w:left="0" w:firstLine="480" w:firstLineChars="200"/>
        <w:jc w:val="both"/>
        <w:rPr>
          <w:rFonts w:hint="eastAsia" w:ascii="微软雅黑" w:hAnsi="微软雅黑" w:eastAsia="微软雅黑" w:cs="微软雅黑"/>
          <w:color w:val="000000" w:themeColor="text1"/>
          <w:kern w:val="44"/>
          <w:sz w:val="24"/>
          <w:szCs w:val="24"/>
          <w14:textFill>
            <w14:solidFill>
              <w14:schemeClr w14:val="tx1"/>
            </w14:solidFill>
          </w14:textFill>
        </w:rPr>
      </w:pPr>
      <w:r>
        <w:rPr>
          <w:rFonts w:hint="eastAsia" w:ascii="微软雅黑" w:hAnsi="微软雅黑" w:eastAsia="微软雅黑" w:cs="微软雅黑"/>
          <w:color w:val="000000" w:themeColor="text1"/>
          <w:kern w:val="44"/>
          <w:sz w:val="24"/>
          <w:szCs w:val="24"/>
          <w14:textFill>
            <w14:solidFill>
              <w14:schemeClr w14:val="tx1"/>
            </w14:solidFill>
          </w14:textFill>
        </w:rPr>
        <w:t>（以下无正文）</w:t>
      </w:r>
    </w:p>
    <w:p w14:paraId="49331BAF">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0D613BAD">
      <w:pPr>
        <w:tabs>
          <w:tab w:val="left" w:pos="0"/>
          <w:tab w:val="left" w:pos="280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甲方（盖章）：</w:t>
      </w:r>
    </w:p>
    <w:p w14:paraId="325D4B22">
      <w:pPr>
        <w:tabs>
          <w:tab w:val="left" w:pos="0"/>
          <w:tab w:val="left" w:pos="280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3019E058">
      <w:pPr>
        <w:tabs>
          <w:tab w:val="left" w:pos="0"/>
          <w:tab w:val="left" w:pos="280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3E5C94EC">
      <w:pPr>
        <w:tabs>
          <w:tab w:val="left" w:pos="0"/>
          <w:tab w:val="left" w:pos="280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33EED880">
      <w:pPr>
        <w:tabs>
          <w:tab w:val="left" w:pos="0"/>
          <w:tab w:val="left" w:pos="280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2D3F49A2">
      <w:pPr>
        <w:tabs>
          <w:tab w:val="left" w:pos="0"/>
          <w:tab w:val="left" w:pos="280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乙方（盖章）：</w:t>
      </w:r>
    </w:p>
    <w:p w14:paraId="580FBFF4">
      <w:pPr>
        <w:tabs>
          <w:tab w:val="left" w:pos="0"/>
          <w:tab w:val="left" w:pos="280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32D2E241">
      <w:pPr>
        <w:tabs>
          <w:tab w:val="left" w:pos="0"/>
          <w:tab w:val="left" w:pos="280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法定代表人（签字）：</w:t>
      </w:r>
    </w:p>
    <w:p w14:paraId="40F98CA2">
      <w:pPr>
        <w:tabs>
          <w:tab w:val="left" w:pos="0"/>
          <w:tab w:val="left" w:pos="280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委托代理人（签字）：</w:t>
      </w:r>
    </w:p>
    <w:p w14:paraId="4BCCFBFB">
      <w:pPr>
        <w:tabs>
          <w:tab w:val="left" w:pos="0"/>
          <w:tab w:val="left" w:pos="2800"/>
        </w:tabs>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p>
    <w:p w14:paraId="53D8BB13">
      <w:pPr>
        <w:spacing w:line="360" w:lineRule="auto"/>
        <w:ind w:firstLine="480" w:firstLineChars="200"/>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14:textFill>
            <w14:solidFill>
              <w14:schemeClr w14:val="tx1"/>
            </w14:solidFill>
          </w14:textFill>
        </w:rPr>
        <w:t>签订日期：</w:t>
      </w:r>
    </w:p>
    <w:p w14:paraId="7BF61338">
      <w:pPr>
        <w:spacing w:line="360" w:lineRule="auto"/>
        <w:ind w:firstLine="480" w:firstLineChars="200"/>
        <w:rPr>
          <w:rFonts w:hint="eastAsia" w:ascii="微软雅黑" w:hAnsi="微软雅黑" w:eastAsia="微软雅黑" w:cs="微软雅黑"/>
          <w:color w:val="000000" w:themeColor="text1"/>
          <w:sz w:val="24"/>
          <w:szCs w:val="24"/>
          <w:lang w:val="en-US" w:eastAsia="zh-CN"/>
          <w14:textFill>
            <w14:solidFill>
              <w14:schemeClr w14:val="tx1"/>
            </w14:solidFill>
          </w14:textFill>
        </w:rPr>
      </w:pPr>
      <w:r>
        <w:rPr>
          <w:rFonts w:hint="eastAsia" w:ascii="微软雅黑" w:hAnsi="微软雅黑" w:eastAsia="微软雅黑" w:cs="微软雅黑"/>
          <w:color w:val="000000" w:themeColor="text1"/>
          <w:sz w:val="24"/>
          <w:szCs w:val="24"/>
          <w:lang w:val="en-US" w:eastAsia="zh-CN"/>
          <w14:textFill>
            <w14:solidFill>
              <w14:schemeClr w14:val="tx1"/>
            </w14:solidFill>
          </w14:textFill>
        </w:rPr>
        <w:t>签订地点：</w:t>
      </w:r>
    </w:p>
    <w:p w14:paraId="2C82901A">
      <w:pPr>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p w14:paraId="5FE640BF">
      <w:pPr>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p w14:paraId="0F4EDEC5">
      <w:pPr>
        <w:spacing w:line="360" w:lineRule="auto"/>
        <w:rPr>
          <w:rFonts w:hint="eastAsia" w:ascii="微软雅黑" w:hAnsi="微软雅黑" w:eastAsia="微软雅黑" w:cs="微软雅黑"/>
          <w:color w:val="000000" w:themeColor="text1"/>
          <w:sz w:val="24"/>
          <w:szCs w:val="24"/>
          <w14:textFill>
            <w14:solidFill>
              <w14:schemeClr w14:val="tx1"/>
            </w14:solidFill>
          </w14:textFill>
        </w:rPr>
      </w:pPr>
    </w:p>
    <w:bookmarkEnd w:id="0"/>
    <w:p w14:paraId="38FD9769">
      <w:pPr>
        <w:rPr>
          <w:color w:val="000000" w:themeColor="text1"/>
          <w14:textFill>
            <w14:solidFill>
              <w14:schemeClr w14:val="tx1"/>
            </w14:solidFill>
          </w14:textFill>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9172"/>
    </w:sdtPr>
    <w:sdtContent>
      <w:sdt>
        <w:sdtPr>
          <w:id w:val="171357217"/>
        </w:sdtPr>
        <w:sdtContent>
          <w:p w14:paraId="193D2171">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6</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sdtContent>
      </w:sdt>
    </w:sdtContent>
  </w:sdt>
  <w:p w14:paraId="66A11036">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D922E3"/>
    <w:multiLevelType w:val="singleLevel"/>
    <w:tmpl w:val="FCD922E3"/>
    <w:lvl w:ilvl="0" w:tentative="0">
      <w:start w:val="4"/>
      <w:numFmt w:val="decimal"/>
      <w:suff w:val="nothing"/>
      <w:lvlText w:val="%1、"/>
      <w:lvlJc w:val="left"/>
    </w:lvl>
  </w:abstractNum>
  <w:abstractNum w:abstractNumId="1">
    <w:nsid w:val="58C61872"/>
    <w:multiLevelType w:val="singleLevel"/>
    <w:tmpl w:val="58C61872"/>
    <w:lvl w:ilvl="0" w:tentative="0">
      <w:start w:val="1"/>
      <w:numFmt w:val="decimal"/>
      <w:suff w:val="nothing"/>
      <w:lvlText w:val="（%1）"/>
      <w:lvlJc w:val="left"/>
      <w:pPr>
        <w:ind w:left="0" w:firstLine="420"/>
      </w:pPr>
    </w:lvl>
  </w:abstractNum>
  <w:abstractNum w:abstractNumId="2">
    <w:nsid w:val="58C61B8B"/>
    <w:multiLevelType w:val="singleLevel"/>
    <w:tmpl w:val="58C61B8B"/>
    <w:lvl w:ilvl="0" w:tentative="0">
      <w:start w:val="1"/>
      <w:numFmt w:val="decimal"/>
      <w:suff w:val="nothing"/>
      <w:lvlText w:val="（%1）"/>
      <w:lvlJc w:val="left"/>
      <w:pPr>
        <w:ind w:left="0" w:firstLine="420"/>
      </w:pPr>
    </w:lvl>
  </w:abstractNum>
  <w:num w:numId="1">
    <w:abstractNumId w:val="1"/>
    <w:lvlOverride w:ilvl="0">
      <w:startOverride w:val="1"/>
    </w:lvlOverride>
  </w:num>
  <w:num w:numId="2">
    <w:abstractNumId w:val="2"/>
    <w:lvlOverride w:ilvl="0">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BD13A9"/>
    <w:rsid w:val="1E623055"/>
    <w:rsid w:val="29BD13A9"/>
    <w:rsid w:val="375D5466"/>
    <w:rsid w:val="66867C0A"/>
    <w:rsid w:val="6D8D2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unhideWhenUsed/>
    <w:qFormat/>
    <w:uiPriority w:val="0"/>
    <w:pPr>
      <w:spacing w:line="460" w:lineRule="exact"/>
      <w:ind w:firstLine="567"/>
    </w:pPr>
    <w:rPr>
      <w:rFonts w:ascii="宋体" w:hAnsi="Courier New" w:eastAsia="仿宋_GB2312" w:cstheme="minorBidi"/>
      <w:sz w:val="28"/>
      <w:szCs w:val="22"/>
    </w:rPr>
  </w:style>
  <w:style w:type="paragraph" w:styleId="3">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3883</Words>
  <Characters>3885</Characters>
  <Lines>0</Lines>
  <Paragraphs>0</Paragraphs>
  <TotalTime>1</TotalTime>
  <ScaleCrop>false</ScaleCrop>
  <LinksUpToDate>false</LinksUpToDate>
  <CharactersWithSpaces>4175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2021-05-31T07:31:00Z</dcterms:created>
  <dc:creator>真宇律师</dc:creator>
  <cp:lastModifiedBy>豪</cp:lastModifiedBy>
  <dcterms:modified xsi:type="dcterms:W3CDTF">2026-03-22T07:49:57Z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0D7556E5A4DD4CBB99B9195980551DD7</vt:lpwstr>
  </property>
  <property fmtid="{D5CDD505-2E9C-101B-9397-08002B2CF9AE}" pid="4" name="KSOTemplateDocerSaveRecord">
    <vt:lpwstr>eyJoZGlkIjoiNTg0MzMyNGJiMDEzODc5ODNlMGVjODViOWRkZjg1MDgiLCJ1c2VySWQiOiIxMjc2Mzc3NjgxIn0=</vt:lpwstr>
  </property>
</Properties>
</file>