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1D2EC">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工程规划设计合同书</w:t>
      </w:r>
    </w:p>
    <w:p w14:paraId="7690FD3E">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w:t>
      </w:r>
      <w:r>
        <w:rPr>
          <w:rFonts w:hint="eastAsia" w:ascii="微软雅黑" w:hAnsi="微软雅黑" w:eastAsia="微软雅黑" w:cs="微软雅黑"/>
          <w:sz w:val="24"/>
          <w:szCs w:val="24"/>
        </w:rPr>
        <w:t>______________公司</w:t>
      </w:r>
    </w:p>
    <w:p w14:paraId="3FDE7D9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w:t>
      </w:r>
      <w:r>
        <w:rPr>
          <w:rFonts w:hint="eastAsia" w:ascii="微软雅黑" w:hAnsi="微软雅黑" w:eastAsia="微软雅黑" w:cs="微软雅黑"/>
          <w:sz w:val="24"/>
          <w:szCs w:val="24"/>
        </w:rPr>
        <w:t>__________________</w:t>
      </w:r>
    </w:p>
    <w:p w14:paraId="3841449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w:t>
      </w:r>
      <w:r>
        <w:rPr>
          <w:rFonts w:hint="eastAsia" w:ascii="微软雅黑" w:hAnsi="微软雅黑" w:eastAsia="微软雅黑" w:cs="微软雅黑"/>
          <w:sz w:val="24"/>
          <w:szCs w:val="24"/>
        </w:rPr>
        <w:t>______</w:t>
      </w:r>
    </w:p>
    <w:p w14:paraId="00EBA95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w:t>
      </w:r>
      <w:r>
        <w:rPr>
          <w:rFonts w:hint="eastAsia" w:ascii="微软雅黑" w:hAnsi="微软雅黑" w:eastAsia="微软雅黑" w:cs="微软雅黑"/>
          <w:sz w:val="24"/>
          <w:szCs w:val="24"/>
        </w:rPr>
        <w:t>______________</w:t>
      </w:r>
    </w:p>
    <w:p w14:paraId="5A1A3DC0">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w:t>
      </w:r>
      <w:r>
        <w:rPr>
          <w:rFonts w:hint="eastAsia" w:ascii="微软雅黑" w:hAnsi="微软雅黑" w:eastAsia="微软雅黑" w:cs="微软雅黑"/>
          <w:sz w:val="24"/>
          <w:szCs w:val="24"/>
        </w:rPr>
        <w:t>______________公司</w:t>
      </w:r>
    </w:p>
    <w:p w14:paraId="2EFF927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w:t>
      </w:r>
      <w:r>
        <w:rPr>
          <w:rFonts w:hint="eastAsia" w:ascii="微软雅黑" w:hAnsi="微软雅黑" w:eastAsia="微软雅黑" w:cs="微软雅黑"/>
          <w:sz w:val="24"/>
          <w:szCs w:val="24"/>
        </w:rPr>
        <w:t>__________________</w:t>
      </w:r>
    </w:p>
    <w:p w14:paraId="331F44D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w:t>
      </w:r>
      <w:r>
        <w:rPr>
          <w:rFonts w:hint="eastAsia" w:ascii="微软雅黑" w:hAnsi="微软雅黑" w:eastAsia="微软雅黑" w:cs="微软雅黑"/>
          <w:sz w:val="24"/>
          <w:szCs w:val="24"/>
        </w:rPr>
        <w:t>______</w:t>
      </w:r>
    </w:p>
    <w:p w14:paraId="66DFCE32">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w:t>
      </w:r>
      <w:r>
        <w:rPr>
          <w:rFonts w:hint="eastAsia" w:ascii="微软雅黑" w:hAnsi="微软雅黑" w:eastAsia="微软雅黑" w:cs="微软雅黑"/>
          <w:sz w:val="24"/>
          <w:szCs w:val="24"/>
        </w:rPr>
        <w:t>______________</w:t>
      </w:r>
    </w:p>
    <w:p w14:paraId="68598243">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甲乙双方因</w:t>
      </w:r>
      <w:r>
        <w:rPr>
          <w:rFonts w:hint="eastAsia" w:ascii="微软雅黑" w:hAnsi="微软雅黑" w:eastAsia="微软雅黑" w:cs="微软雅黑"/>
          <w:sz w:val="24"/>
          <w:szCs w:val="24"/>
        </w:rPr>
        <w:t>_________工程总体规划文件事宜，经协商一致，达成本合同，共同遵守执行。</w:t>
      </w:r>
    </w:p>
    <w:p w14:paraId="056D641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第一条 </w:t>
      </w:r>
      <w:r>
        <w:rPr>
          <w:rFonts w:hint="eastAsia" w:ascii="微软雅黑" w:hAnsi="微软雅黑" w:eastAsia="微软雅黑" w:cs="微软雅黑"/>
          <w:sz w:val="24"/>
          <w:szCs w:val="24"/>
        </w:rPr>
        <w:t>设计内容</w:t>
      </w:r>
    </w:p>
    <w:p w14:paraId="587CB48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乙方为甲方设计</w:t>
      </w:r>
      <w:r>
        <w:rPr>
          <w:rFonts w:hint="eastAsia" w:ascii="微软雅黑" w:hAnsi="微软雅黑" w:eastAsia="微软雅黑" w:cs="微软雅黑"/>
          <w:sz w:val="24"/>
          <w:szCs w:val="24"/>
        </w:rPr>
        <w:t>_________工程并编制_________工程总体规划文件，主要内容包括：</w:t>
      </w:r>
    </w:p>
    <w:p w14:paraId="65AABBB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A．甲方厂区总平面布置</w:t>
      </w:r>
      <w:r>
        <w:rPr>
          <w:rFonts w:hint="eastAsia" w:ascii="微软雅黑" w:hAnsi="微软雅黑" w:eastAsia="微软雅黑" w:cs="微软雅黑"/>
          <w:sz w:val="24"/>
          <w:szCs w:val="24"/>
        </w:rPr>
        <w:t>。</w:t>
      </w:r>
    </w:p>
    <w:p w14:paraId="527F96D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B．甲方第1、2、3期_______工程生产规模、产品、技术方案分析与规划</w:t>
      </w:r>
      <w:r>
        <w:rPr>
          <w:rFonts w:hint="eastAsia" w:ascii="微软雅黑" w:hAnsi="微软雅黑" w:eastAsia="微软雅黑" w:cs="微软雅黑"/>
          <w:sz w:val="24"/>
          <w:szCs w:val="24"/>
        </w:rPr>
        <w:t>。</w:t>
      </w:r>
    </w:p>
    <w:p w14:paraId="08BD7F1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C．甲方技术经济效益分析与预测。</w:t>
      </w:r>
    </w:p>
    <w:p w14:paraId="76E773A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第二条 </w:t>
      </w:r>
      <w:r>
        <w:rPr>
          <w:rFonts w:hint="eastAsia" w:ascii="微软雅黑" w:hAnsi="微软雅黑" w:eastAsia="微软雅黑" w:cs="微软雅黑"/>
          <w:sz w:val="24"/>
          <w:szCs w:val="24"/>
        </w:rPr>
        <w:t>设计期限</w:t>
      </w:r>
    </w:p>
    <w:p w14:paraId="0E1F241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乙方于收到甲方提供的设计资料后</w:t>
      </w:r>
      <w:r>
        <w:rPr>
          <w:rFonts w:hint="eastAsia" w:ascii="微软雅黑" w:hAnsi="微软雅黑" w:eastAsia="微软雅黑" w:cs="微软雅黑"/>
          <w:sz w:val="24"/>
          <w:szCs w:val="24"/>
        </w:rPr>
        <w:t>_________天内向甲方交付_________工程总体规划文件。</w:t>
      </w:r>
    </w:p>
    <w:p w14:paraId="5CBE788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第三条 </w:t>
      </w:r>
      <w:r>
        <w:rPr>
          <w:rFonts w:hint="eastAsia" w:ascii="微软雅黑" w:hAnsi="微软雅黑" w:eastAsia="微软雅黑" w:cs="微软雅黑"/>
          <w:sz w:val="24"/>
          <w:szCs w:val="24"/>
        </w:rPr>
        <w:t>设计报酬及支付方式</w:t>
      </w:r>
    </w:p>
    <w:p w14:paraId="1B94292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甲方向乙方支付设计报酬人民币</w:t>
      </w:r>
      <w:r>
        <w:rPr>
          <w:rFonts w:hint="eastAsia" w:ascii="微软雅黑" w:hAnsi="微软雅黑" w:eastAsia="微软雅黑" w:cs="微软雅黑"/>
          <w:sz w:val="24"/>
          <w:szCs w:val="24"/>
        </w:rPr>
        <w:t>_________元，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_________</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分两期支付，具体如下：</w:t>
      </w:r>
    </w:p>
    <w:p w14:paraId="59207C4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A．本合同签署后_________个工作日内支付_________元，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_________</w:t>
      </w:r>
      <w:r>
        <w:rPr>
          <w:rFonts w:hint="eastAsia" w:ascii="微软雅黑" w:hAnsi="微软雅黑" w:eastAsia="微软雅黑" w:cs="微软雅黑"/>
          <w:sz w:val="24"/>
          <w:szCs w:val="24"/>
        </w:rPr>
        <w:t>。</w:t>
      </w:r>
    </w:p>
    <w:p w14:paraId="765D3D2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B．乙方提交_________工程总体规划文件并经甲方审核通过后_________个工作日内支付_________元，</w:t>
      </w:r>
      <w:r>
        <w:rPr>
          <w:rFonts w:hint="eastAsia" w:ascii="微软雅黑" w:hAnsi="微软雅黑" w:eastAsia="微软雅黑" w:cs="微软雅黑"/>
          <w:sz w:val="24"/>
          <w:szCs w:val="24"/>
        </w:rPr>
        <w:t>大写：</w:t>
      </w:r>
      <w:r>
        <w:rPr>
          <w:rFonts w:hint="eastAsia" w:ascii="微软雅黑" w:hAnsi="微软雅黑" w:eastAsia="微软雅黑" w:cs="微软雅黑"/>
          <w:sz w:val="24"/>
          <w:szCs w:val="24"/>
        </w:rPr>
        <w:t>_________。</w:t>
      </w:r>
    </w:p>
    <w:p w14:paraId="67FED23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第四条 </w:t>
      </w:r>
      <w:r>
        <w:rPr>
          <w:rFonts w:hint="eastAsia" w:ascii="微软雅黑" w:hAnsi="微软雅黑" w:eastAsia="微软雅黑" w:cs="微软雅黑"/>
          <w:sz w:val="24"/>
          <w:szCs w:val="24"/>
        </w:rPr>
        <w:t>各方义务</w:t>
      </w:r>
    </w:p>
    <w:p w14:paraId="29A6F59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A．甲方义务</w:t>
      </w:r>
    </w:p>
    <w:p w14:paraId="40B1D10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1）及时向乙方提供编制_________工程总体规划文件所需基础资料</w:t>
      </w:r>
      <w:r>
        <w:rPr>
          <w:rFonts w:hint="eastAsia" w:ascii="微软雅黑" w:hAnsi="微软雅黑" w:eastAsia="微软雅黑" w:cs="微软雅黑"/>
          <w:sz w:val="24"/>
          <w:szCs w:val="24"/>
        </w:rPr>
        <w:t>。</w:t>
      </w:r>
    </w:p>
    <w:p w14:paraId="2E74CDE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2）如期向乙方支付报酬。</w:t>
      </w:r>
    </w:p>
    <w:p w14:paraId="2886305F">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B．乙方义务</w:t>
      </w:r>
    </w:p>
    <w:p w14:paraId="766452C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1）按期交付_______工程总体规划文件及其相关的图纸和技术文件资料</w:t>
      </w:r>
      <w:r>
        <w:rPr>
          <w:rFonts w:hint="eastAsia" w:ascii="微软雅黑" w:hAnsi="微软雅黑" w:eastAsia="微软雅黑" w:cs="微软雅黑"/>
          <w:sz w:val="24"/>
          <w:szCs w:val="24"/>
        </w:rPr>
        <w:t>。</w:t>
      </w:r>
    </w:p>
    <w:p w14:paraId="214E608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2）及时解决_________工程总体规划文件中涉及有关的技术问题。</w:t>
      </w:r>
    </w:p>
    <w:p w14:paraId="69EDDE1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第五条 </w:t>
      </w:r>
      <w:r>
        <w:rPr>
          <w:rFonts w:hint="eastAsia" w:ascii="微软雅黑" w:hAnsi="微软雅黑" w:eastAsia="微软雅黑" w:cs="微软雅黑"/>
          <w:sz w:val="24"/>
          <w:szCs w:val="24"/>
        </w:rPr>
        <w:t>工程验收</w:t>
      </w:r>
    </w:p>
    <w:p w14:paraId="1D4EBFA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A．乙方编制的_________工程总体规划文件需经甲方专家委员会审核。</w:t>
      </w:r>
    </w:p>
    <w:p w14:paraId="5CD98B8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B．甲方专家委员会须于收到乙方提交的________工程总体规划文件之日起_________个工作日内进行审核并提出意见，甲方专家委员会未于前述期限内提出意见，视为甲方接受乙方编制的_________工程总体规划文件。</w:t>
      </w:r>
    </w:p>
    <w:p w14:paraId="4BFB578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C．甲方专家委员会对_________工程总体规划文件提出异议或意见的，乙方须于接到甲方或其专家委员会异议或意见之日起_________个工作日内对_________工程总体规划文件进行修改后提交甲方专家委员会审核；经甲方专家委员会_________次审核，_________工程总体规划文件未获通过，甲方有权拒绝接受_________工程总体规划文件，不向乙方支付第二期报酬。</w:t>
      </w:r>
    </w:p>
    <w:p w14:paraId="2F67F12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第六条 争议解决</w:t>
      </w:r>
    </w:p>
    <w:p w14:paraId="1F9D3E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3E43C22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送达地址以及方式</w:t>
      </w:r>
    </w:p>
    <w:p w14:paraId="738E4393">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1.1</w:t>
      </w:r>
      <w:r>
        <w:rPr>
          <w:rFonts w:hint="eastAsia" w:ascii="微软雅黑" w:hAnsi="微软雅黑" w:eastAsia="微软雅黑" w:cs="微软雅黑"/>
          <w:color w:val="000000" w:themeColor="text1"/>
          <w:sz w:val="24"/>
          <w:szCs w:val="24"/>
          <w:lang w:eastAsia="zh-CN"/>
          <w14:textFill>
            <w14:solidFill>
              <w14:schemeClr w14:val="tx1"/>
            </w14:solidFill>
          </w14:textFill>
        </w:rPr>
        <w:t>送达地址</w:t>
      </w:r>
    </w:p>
    <w:p w14:paraId="2B95A6F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甲方确认送达地址如下：</w:t>
      </w:r>
    </w:p>
    <w:p w14:paraId="2B57060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0A0F836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4289FA7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4B89F2D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3400C06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甲方电子送达方式如下：</w:t>
      </w:r>
    </w:p>
    <w:p w14:paraId="19479F9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4FC189F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3863FDA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3D1244B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            。</w:t>
      </w:r>
    </w:p>
    <w:p w14:paraId="298F9C8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乙方确认送达地址如下：</w:t>
      </w:r>
    </w:p>
    <w:p w14:paraId="0E87258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地址：    省    市    区/县    路    号，</w:t>
      </w:r>
    </w:p>
    <w:p w14:paraId="12370D5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邮编：            ，</w:t>
      </w:r>
    </w:p>
    <w:p w14:paraId="7962DD7B">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联系人：      ，</w:t>
      </w:r>
    </w:p>
    <w:p w14:paraId="1938E5C4">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联系电话：      -            。</w:t>
      </w:r>
    </w:p>
    <w:p w14:paraId="251C0DDC">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乙方电子送达方式如下：</w:t>
      </w:r>
    </w:p>
    <w:p w14:paraId="77D149C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手机短信：                  </w:t>
      </w:r>
    </w:p>
    <w:p w14:paraId="24227CE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传真：      -            </w:t>
      </w:r>
    </w:p>
    <w:p w14:paraId="7262EC50">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即时通讯账号（微信号）：                  </w:t>
      </w:r>
    </w:p>
    <w:p w14:paraId="75B3C08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电子邮箱：</w:t>
      </w:r>
    </w:p>
    <w:p w14:paraId="6D34A6AC">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1.2</w:t>
      </w:r>
      <w:r>
        <w:rPr>
          <w:rFonts w:hint="eastAsia" w:ascii="微软雅黑" w:hAnsi="微软雅黑" w:eastAsia="微软雅黑" w:cs="微软雅黑"/>
          <w:color w:val="000000" w:themeColor="text1"/>
          <w:sz w:val="24"/>
          <w:szCs w:val="24"/>
          <w:lang w:eastAsia="zh-CN"/>
          <w14:textFill>
            <w14:solidFill>
              <w14:schemeClr w14:val="tx1"/>
            </w14:solidFill>
          </w14:textFill>
        </w:rPr>
        <w:t>送达方式</w:t>
      </w:r>
    </w:p>
    <w:p w14:paraId="3968699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 双方同意，本合同项下的通知、函件、诉讼文书等文件，以下列方式送达对方：</w:t>
      </w:r>
    </w:p>
    <w:p w14:paraId="6CCD663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（1）.</w:t>
      </w:r>
      <w:r>
        <w:rPr>
          <w:rFonts w:hint="eastAsia" w:ascii="微软雅黑" w:hAnsi="微软雅黑" w:eastAsia="微软雅黑" w:cs="微软雅黑"/>
          <w:color w:val="000000" w:themeColor="text1"/>
          <w:sz w:val="24"/>
          <w:szCs w:val="24"/>
          <w14:textFill>
            <w14:solidFill>
              <w14:schemeClr w14:val="tx1"/>
            </w14:solidFill>
          </w14:textFill>
        </w:rPr>
        <w:t>直接送达：将文件送至对方指定的送达地址，视为已送达；</w:t>
      </w:r>
    </w:p>
    <w:p w14:paraId="238217A8">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邮寄送达：将文件通过挂号信、特快专递等方式寄至对方指定的送达地址，以邮戳日期为准，视为已送达；</w:t>
      </w:r>
    </w:p>
    <w:p w14:paraId="75336445">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（3）.</w:t>
      </w:r>
      <w:r>
        <w:rPr>
          <w:rFonts w:hint="eastAsia" w:ascii="微软雅黑" w:hAnsi="微软雅黑" w:eastAsia="微软雅黑" w:cs="微软雅黑"/>
          <w:color w:val="000000" w:themeColor="text1"/>
          <w:sz w:val="24"/>
          <w:szCs w:val="24"/>
          <w14:textFill>
            <w14:solidFill>
              <w14:schemeClr w14:val="tx1"/>
            </w14:solidFill>
          </w14:textFill>
        </w:rPr>
        <w:t>电子送达：将文件通过电子邮件、短信、微信等方式发送至对方指定的电子邮箱、手机号码等，发送成功即视为已送达。</w:t>
      </w:r>
    </w:p>
    <w:p w14:paraId="3F49CB57">
      <w:pPr>
        <w:wordWrap w:val="0"/>
        <w:spacing w:line="360" w:lineRule="auto"/>
        <w:ind w:firstLine="480" w:firstLineChars="200"/>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w:t>
      </w:r>
      <w:r>
        <w:rPr>
          <w:rFonts w:hint="eastAsia" w:ascii="微软雅黑" w:hAnsi="微软雅黑" w:eastAsia="微软雅黑" w:cs="微软雅黑"/>
          <w:color w:val="000000" w:themeColor="text1"/>
          <w:sz w:val="24"/>
          <w:szCs w:val="24"/>
          <w:lang w:eastAsia="zh-CN"/>
          <w14:textFill>
            <w14:solidFill>
              <w14:schemeClr w14:val="tx1"/>
            </w14:solidFill>
          </w14:textFill>
        </w:rPr>
        <w:t>送达条款</w:t>
      </w:r>
    </w:p>
    <w:p w14:paraId="090F773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2.1</w:t>
      </w:r>
      <w:r>
        <w:rPr>
          <w:rFonts w:hint="eastAsia" w:ascii="微软雅黑" w:hAnsi="微软雅黑" w:eastAsia="微软雅黑" w:cs="微软雅黑"/>
          <w:color w:val="000000" w:themeColor="text1"/>
          <w:sz w:val="24"/>
          <w:szCs w:val="24"/>
          <w:lang w:eastAsia="zh-CN"/>
          <w14:textFill>
            <w14:solidFill>
              <w14:schemeClr w14:val="tx1"/>
            </w14:solidFill>
          </w14:textFill>
        </w:rPr>
        <w:t>本送达条款适用于合同履行履行期间及合同纠纷解决过程中的所有文件送达。</w:t>
      </w:r>
    </w:p>
    <w:p w14:paraId="51FC6123">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2.2</w:t>
      </w:r>
      <w:r>
        <w:rPr>
          <w:rFonts w:hint="eastAsia" w:ascii="微软雅黑" w:hAnsi="微软雅黑" w:eastAsia="微软雅黑" w:cs="微软雅黑"/>
          <w:color w:val="000000" w:themeColor="text1"/>
          <w:sz w:val="24"/>
          <w:szCs w:val="24"/>
          <w14:textFill>
            <w14:solidFill>
              <w14:schemeClr w14:val="tx1"/>
            </w14:solidFill>
          </w14:textFill>
        </w:rPr>
        <w:t>法院、仲裁委员会、合同项下任何一方等主体有权依据本合</w:t>
      </w:r>
      <w:r>
        <w:rPr>
          <w:rFonts w:hint="eastAsia" w:ascii="微软雅黑" w:hAnsi="微软雅黑" w:eastAsia="微软雅黑" w:cs="微软雅黑"/>
          <w:color w:val="000000" w:themeColor="text1"/>
          <w:sz w:val="24"/>
          <w:szCs w:val="24"/>
          <w:lang w:eastAsia="zh-CN"/>
          <w14:textFill>
            <w14:solidFill>
              <w14:schemeClr w14:val="tx1"/>
            </w14:solidFill>
          </w14:textFill>
        </w:rPr>
        <w:t>同</w:t>
      </w:r>
      <w:r>
        <w:rPr>
          <w:rFonts w:hint="eastAsia" w:ascii="微软雅黑" w:hAnsi="微软雅黑" w:eastAsia="微软雅黑" w:cs="微软雅黑"/>
          <w:color w:val="000000" w:themeColor="text1"/>
          <w:sz w:val="24"/>
          <w:szCs w:val="24"/>
          <w14:textFill>
            <w14:solidFill>
              <w14:schemeClr w14:val="tx1"/>
            </w14:solidFill>
          </w14:textFill>
        </w:rPr>
        <w:t>约定地址向另一方发出的通知、信件、数据电文等内容，如因包括不限于搬迁、注销、更换地址等接收方原因造成无法送达的，不利后果由接收方自行承担。</w:t>
      </w:r>
    </w:p>
    <w:p w14:paraId="5F791D92">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2.3</w:t>
      </w:r>
      <w:r>
        <w:rPr>
          <w:rFonts w:hint="eastAsia" w:ascii="微软雅黑" w:hAnsi="微软雅黑" w:eastAsia="微软雅黑" w:cs="微软雅黑"/>
          <w:color w:val="000000" w:themeColor="text1"/>
          <w:sz w:val="24"/>
          <w:szCs w:val="24"/>
          <w14:textFill>
            <w14:solidFill>
              <w14:schemeClr w14:val="tx1"/>
            </w14:solidFill>
          </w14:textFill>
        </w:rPr>
        <w:t>双方在合同履行过程中由双方共同明示或默示确认的合同约定外的送达地址和联系方式不影响送达效力。</w:t>
      </w:r>
    </w:p>
    <w:p w14:paraId="04900029">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2.4</w:t>
      </w:r>
      <w:r>
        <w:rPr>
          <w:rFonts w:hint="eastAsia" w:ascii="微软雅黑" w:hAnsi="微软雅黑" w:eastAsia="微软雅黑" w:cs="微软雅黑"/>
          <w:color w:val="000000" w:themeColor="text1"/>
          <w:sz w:val="24"/>
          <w:szCs w:val="24"/>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0E7E320D">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2.5</w:t>
      </w:r>
      <w:r>
        <w:rPr>
          <w:rFonts w:hint="eastAsia" w:ascii="微软雅黑" w:hAnsi="微软雅黑" w:eastAsia="微软雅黑" w:cs="微软雅黑"/>
          <w:color w:val="000000" w:themeColor="text1"/>
          <w:sz w:val="24"/>
          <w:szCs w:val="24"/>
          <w14:textFill>
            <w14:solidFill>
              <w14:schemeClr w14:val="tx1"/>
            </w14:solidFill>
          </w14:textFill>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olor w:val="000000" w:themeColor="text1"/>
          <w:sz w:val="24"/>
          <w:szCs w:val="24"/>
          <w:lang w:eastAsia="zh-CN"/>
          <w14:textFill>
            <w14:solidFill>
              <w14:schemeClr w14:val="tx1"/>
            </w14:solidFill>
          </w14:textFill>
        </w:rPr>
        <w:t>及时</w:t>
      </w:r>
      <w:r>
        <w:rPr>
          <w:rFonts w:hint="eastAsia" w:ascii="微软雅黑" w:hAnsi="微软雅黑" w:eastAsia="微软雅黑" w:cs="微软雅黑"/>
          <w:color w:val="000000" w:themeColor="text1"/>
          <w:sz w:val="24"/>
          <w:szCs w:val="24"/>
          <w14:textFill>
            <w14:solidFill>
              <w14:schemeClr w14:val="tx1"/>
            </w14:solidFill>
          </w14:textFill>
        </w:rPr>
        <w:t>通知的，发送方按照原约定方式送达，视为送达成功。</w:t>
      </w:r>
    </w:p>
    <w:p w14:paraId="3057C815">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2.6</w:t>
      </w:r>
      <w:r>
        <w:rPr>
          <w:rFonts w:hint="eastAsia" w:ascii="微软雅黑" w:hAnsi="微软雅黑" w:eastAsia="微软雅黑" w:cs="微软雅黑"/>
          <w:color w:val="000000" w:themeColor="text1"/>
          <w:sz w:val="24"/>
          <w:szCs w:val="24"/>
          <w14:textFill>
            <w14:solidFill>
              <w14:schemeClr w14:val="tx1"/>
            </w14:solidFill>
          </w14:textFill>
        </w:rPr>
        <w:t>双方发生争议，关于裁判机构的送达文书，接收方存在以下行为之一的，</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仲裁委员会有权依据法律和适时有效的仲裁规则规定进行送达，法律与仲裁规则规定程序完成之日，视为送达成功：</w:t>
      </w:r>
    </w:p>
    <w:p w14:paraId="5E242A0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1</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.擅自变更送达地址及信息且未及时通知对方的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8AD2F27">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.送达地址与信息同工商登记信息不一致且未及时更改的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62EF2F9A">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3</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.故意不接收</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仲裁委员会送达文书的</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0608C621">
      <w:pPr>
        <w:wordWrap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sz w:val="24"/>
          <w:szCs w:val="24"/>
          <w:lang w:eastAsia="zh-CN"/>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.因接收方过错造成无法正常送达的其他行为</w:t>
      </w:r>
      <w:r>
        <w:rPr>
          <w:rFonts w:hint="eastAsia" w:ascii="微软雅黑" w:hAnsi="微软雅黑" w:eastAsia="微软雅黑" w:cs="微软雅黑"/>
          <w:color w:val="000000" w:themeColor="text1"/>
          <w:sz w:val="24"/>
          <w:szCs w:val="24"/>
          <w:lang w:eastAsia="zh-CN"/>
          <w14:textFill>
            <w14:solidFill>
              <w14:schemeClr w14:val="tx1"/>
            </w14:solidFill>
          </w14:textFill>
        </w:rPr>
        <w:t>。</w:t>
      </w:r>
    </w:p>
    <w:p w14:paraId="5D958C8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第七条 </w:t>
      </w:r>
      <w:r>
        <w:rPr>
          <w:rFonts w:hint="eastAsia" w:ascii="微软雅黑" w:hAnsi="微软雅黑" w:eastAsia="微软雅黑" w:cs="微软雅黑"/>
          <w:sz w:val="24"/>
          <w:szCs w:val="24"/>
        </w:rPr>
        <w:t>其它</w:t>
      </w:r>
    </w:p>
    <w:p w14:paraId="1E11231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本协议一式</w:t>
      </w:r>
      <w:r>
        <w:rPr>
          <w:rFonts w:hint="eastAsia" w:ascii="微软雅黑" w:hAnsi="微软雅黑" w:eastAsia="微软雅黑" w:cs="微软雅黑"/>
          <w:sz w:val="24"/>
          <w:szCs w:val="24"/>
        </w:rPr>
        <w:t>_________份，具有相同法律效力。各方当事人各执_________份，其他用于履行相关法律手续。</w:t>
      </w:r>
    </w:p>
    <w:p w14:paraId="1A3C8FCF">
      <w:pPr>
        <w:spacing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（以下无正文，转签章页）</w:t>
      </w:r>
    </w:p>
    <w:p w14:paraId="5B740A1C">
      <w:pPr>
        <w:widowControl/>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br w:type="page"/>
      </w:r>
    </w:p>
    <w:p w14:paraId="07452638">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（本页无正文，为签章页）</w:t>
      </w: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4CD72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6C584ED">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甲方（盖章）：</w:t>
            </w:r>
            <w:r>
              <w:rPr>
                <w:rFonts w:hint="eastAsia" w:ascii="微软雅黑" w:hAnsi="微软雅黑" w:eastAsia="微软雅黑" w:cs="微软雅黑"/>
                <w:kern w:val="0"/>
                <w:sz w:val="24"/>
                <w:szCs w:val="24"/>
              </w:rPr>
              <w:t>_________公司</w:t>
            </w:r>
          </w:p>
        </w:tc>
        <w:tc>
          <w:tcPr>
            <w:tcW w:w="4148" w:type="dxa"/>
          </w:tcPr>
          <w:p w14:paraId="5D95A65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乙方（盖章）：_________公司</w:t>
            </w:r>
          </w:p>
        </w:tc>
      </w:tr>
      <w:tr w14:paraId="433BD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E0C3AB5">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授权代表（签字）：</w:t>
            </w:r>
            <w:r>
              <w:rPr>
                <w:rFonts w:hint="eastAsia" w:ascii="微软雅黑" w:hAnsi="微软雅黑" w:eastAsia="微软雅黑" w:cs="微软雅黑"/>
                <w:kern w:val="0"/>
                <w:sz w:val="24"/>
                <w:szCs w:val="24"/>
              </w:rPr>
              <w:t>_________</w:t>
            </w:r>
          </w:p>
        </w:tc>
        <w:tc>
          <w:tcPr>
            <w:tcW w:w="4148" w:type="dxa"/>
          </w:tcPr>
          <w:p w14:paraId="418CDDBD">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授权代表（签字）：_________</w:t>
            </w:r>
          </w:p>
        </w:tc>
      </w:tr>
      <w:tr w14:paraId="64B2A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10E1D16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r>
              <w:rPr>
                <w:rFonts w:hint="eastAsia" w:ascii="微软雅黑" w:hAnsi="微软雅黑" w:eastAsia="微软雅黑" w:cs="微软雅黑"/>
                <w:kern w:val="0"/>
                <w:sz w:val="24"/>
                <w:szCs w:val="24"/>
              </w:rPr>
              <w:t>__________年_____月_____日</w:t>
            </w:r>
          </w:p>
        </w:tc>
        <w:tc>
          <w:tcPr>
            <w:tcW w:w="4148" w:type="dxa"/>
          </w:tcPr>
          <w:p w14:paraId="67D5D96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__________年_____月_____日</w:t>
            </w:r>
          </w:p>
        </w:tc>
      </w:tr>
    </w:tbl>
    <w:p w14:paraId="017F5B29">
      <w:pPr>
        <w:spacing w:line="360" w:lineRule="auto"/>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3AE">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separate"/>
    </w:r>
    <w:r>
      <w:rPr>
        <w:rStyle w:val="13"/>
      </w:rPr>
      <w:t>0</w:t>
    </w:r>
    <w:r>
      <w:rPr>
        <w:rStyle w:val="13"/>
      </w:rPr>
      <w:fldChar w:fldCharType="end"/>
    </w:r>
  </w:p>
  <w:p w14:paraId="609657E4">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49BF6">
    <w:pPr>
      <w:pStyle w:val="7"/>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14:paraId="34D56DFA">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0B76E3"/>
    <w:rsid w:val="001373D3"/>
    <w:rsid w:val="00175BB1"/>
    <w:rsid w:val="001955E2"/>
    <w:rsid w:val="001A6708"/>
    <w:rsid w:val="001B3D5C"/>
    <w:rsid w:val="001C342E"/>
    <w:rsid w:val="0024664A"/>
    <w:rsid w:val="002564E2"/>
    <w:rsid w:val="00274A23"/>
    <w:rsid w:val="00284D29"/>
    <w:rsid w:val="002B0E87"/>
    <w:rsid w:val="00322389"/>
    <w:rsid w:val="003D1781"/>
    <w:rsid w:val="003D5FEE"/>
    <w:rsid w:val="004018AB"/>
    <w:rsid w:val="00416229"/>
    <w:rsid w:val="00447C4F"/>
    <w:rsid w:val="00466F81"/>
    <w:rsid w:val="004B5D33"/>
    <w:rsid w:val="004C1B00"/>
    <w:rsid w:val="004F3C4B"/>
    <w:rsid w:val="005477E3"/>
    <w:rsid w:val="00597558"/>
    <w:rsid w:val="005D0707"/>
    <w:rsid w:val="005E6764"/>
    <w:rsid w:val="00606ADC"/>
    <w:rsid w:val="00611435"/>
    <w:rsid w:val="00630E5B"/>
    <w:rsid w:val="00633E3E"/>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41F9D"/>
    <w:rsid w:val="00A560C0"/>
    <w:rsid w:val="00A71A9A"/>
    <w:rsid w:val="00A80CB4"/>
    <w:rsid w:val="00A91145"/>
    <w:rsid w:val="00A93094"/>
    <w:rsid w:val="00AF0098"/>
    <w:rsid w:val="00B50657"/>
    <w:rsid w:val="00B82F78"/>
    <w:rsid w:val="00B9045A"/>
    <w:rsid w:val="00B91F53"/>
    <w:rsid w:val="00BA4F7D"/>
    <w:rsid w:val="00BC0FF1"/>
    <w:rsid w:val="00C51648"/>
    <w:rsid w:val="00C660CC"/>
    <w:rsid w:val="00CE4B66"/>
    <w:rsid w:val="00D168F3"/>
    <w:rsid w:val="00D81A5B"/>
    <w:rsid w:val="00D926BF"/>
    <w:rsid w:val="00DB581C"/>
    <w:rsid w:val="00E14C41"/>
    <w:rsid w:val="00E237FE"/>
    <w:rsid w:val="00E34406"/>
    <w:rsid w:val="00E45A61"/>
    <w:rsid w:val="00F148FD"/>
    <w:rsid w:val="00F23547"/>
    <w:rsid w:val="00F31332"/>
    <w:rsid w:val="00F456EA"/>
    <w:rsid w:val="00F73B67"/>
    <w:rsid w:val="00F763F6"/>
    <w:rsid w:val="00F95D75"/>
    <w:rsid w:val="00FC766B"/>
    <w:rsid w:val="2B780C1F"/>
    <w:rsid w:val="3FBB161A"/>
    <w:rsid w:val="79E67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5"/>
    <w:unhideWhenUsed/>
    <w:qFormat/>
    <w:uiPriority w:val="0"/>
    <w:pPr>
      <w:keepNext/>
      <w:keepLines/>
      <w:spacing w:before="260" w:after="260" w:line="416" w:lineRule="auto"/>
      <w:jc w:val="center"/>
      <w:outlineLvl w:val="2"/>
    </w:pPr>
    <w:rPr>
      <w:rFonts w:eastAsia="宋体"/>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0"/>
    <w:pPr>
      <w:jc w:val="left"/>
    </w:pPr>
  </w:style>
  <w:style w:type="paragraph" w:styleId="4">
    <w:name w:val="Plain Text"/>
    <w:basedOn w:val="1"/>
    <w:link w:val="19"/>
    <w:uiPriority w:val="0"/>
    <w:rPr>
      <w:rFonts w:ascii="宋体" w:hAnsi="Courier New" w:eastAsia="宋体" w:cs="Courier New"/>
      <w:szCs w:val="21"/>
    </w:rPr>
  </w:style>
  <w:style w:type="paragraph" w:styleId="5">
    <w:name w:val="Body Text Indent 2"/>
    <w:basedOn w:val="1"/>
    <w:link w:val="23"/>
    <w:qFormat/>
    <w:uiPriority w:val="0"/>
    <w:pPr>
      <w:spacing w:after="120" w:line="480" w:lineRule="auto"/>
      <w:ind w:left="420" w:leftChars="200"/>
    </w:pPr>
    <w:rPr>
      <w:rFonts w:ascii="Times New Roman" w:hAnsi="Times New Roman" w:eastAsia="宋体" w:cs="Times New Roman"/>
      <w:szCs w:val="20"/>
    </w:rPr>
  </w:style>
  <w:style w:type="paragraph" w:styleId="6">
    <w:name w:val="Balloon Text"/>
    <w:basedOn w:val="1"/>
    <w:link w:val="22"/>
    <w:semiHidden/>
    <w:unhideWhenUsed/>
    <w:qFormat/>
    <w:uiPriority w:val="99"/>
    <w:rPr>
      <w:sz w:val="18"/>
      <w:szCs w:val="18"/>
    </w:rPr>
  </w:style>
  <w:style w:type="paragraph" w:styleId="7">
    <w:name w:val="footer"/>
    <w:basedOn w:val="1"/>
    <w:link w:val="16"/>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8">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9">
    <w:name w:val="Title"/>
    <w:basedOn w:val="1"/>
    <w:next w:val="1"/>
    <w:link w:val="21"/>
    <w:qFormat/>
    <w:uiPriority w:val="0"/>
    <w:pPr>
      <w:widowControl/>
      <w:spacing w:before="240" w:after="60"/>
      <w:jc w:val="center"/>
      <w:outlineLvl w:val="0"/>
    </w:pPr>
    <w:rPr>
      <w:rFonts w:ascii="等线 Light" w:hAnsi="等线 Light" w:eastAsia="宋体" w:cs="Times New Roman"/>
      <w:b/>
      <w:bCs/>
      <w:kern w:val="0"/>
      <w:sz w:val="32"/>
      <w:szCs w:val="32"/>
    </w:rPr>
  </w:style>
  <w:style w:type="table" w:styleId="11">
    <w:name w:val="Table Grid"/>
    <w:basedOn w:val="10"/>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uiPriority w:val="0"/>
    <w:rPr>
      <w:color w:val="0000FF"/>
      <w:u w:val="single"/>
    </w:rPr>
  </w:style>
  <w:style w:type="character" w:customStyle="1" w:styleId="15">
    <w:name w:val="标题 3 字符"/>
    <w:basedOn w:val="12"/>
    <w:link w:val="2"/>
    <w:qFormat/>
    <w:uiPriority w:val="0"/>
    <w:rPr>
      <w:rFonts w:eastAsia="宋体"/>
      <w:b/>
      <w:bCs/>
      <w:sz w:val="32"/>
      <w:szCs w:val="32"/>
    </w:rPr>
  </w:style>
  <w:style w:type="character" w:customStyle="1" w:styleId="16">
    <w:name w:val="页脚 字符"/>
    <w:basedOn w:val="12"/>
    <w:link w:val="7"/>
    <w:qFormat/>
    <w:uiPriority w:val="0"/>
    <w:rPr>
      <w:rFonts w:ascii="Times New Roman" w:hAnsi="Times New Roman" w:eastAsia="宋体" w:cs="Times New Roman"/>
      <w:sz w:val="18"/>
      <w:szCs w:val="18"/>
    </w:rPr>
  </w:style>
  <w:style w:type="paragraph" w:customStyle="1" w:styleId="17">
    <w:name w:val="普通 (Web)"/>
    <w:basedOn w:val="1"/>
    <w:link w:val="18"/>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8">
    <w:name w:val="普通 (Web) Char"/>
    <w:link w:val="17"/>
    <w:qFormat/>
    <w:uiPriority w:val="0"/>
    <w:rPr>
      <w:rFonts w:ascii="宋体" w:hAnsi="宋体" w:eastAsia="宋体" w:cs="Times New Roman"/>
      <w:color w:val="000000"/>
      <w:kern w:val="0"/>
      <w:sz w:val="24"/>
      <w:szCs w:val="24"/>
    </w:rPr>
  </w:style>
  <w:style w:type="character" w:customStyle="1" w:styleId="19">
    <w:name w:val="纯文本 字符"/>
    <w:basedOn w:val="12"/>
    <w:link w:val="4"/>
    <w:uiPriority w:val="0"/>
    <w:rPr>
      <w:rFonts w:ascii="宋体" w:hAnsi="Courier New" w:eastAsia="宋体" w:cs="Courier New"/>
      <w:szCs w:val="21"/>
    </w:rPr>
  </w:style>
  <w:style w:type="paragraph" w:styleId="20">
    <w:name w:val="List Paragraph"/>
    <w:basedOn w:val="1"/>
    <w:qFormat/>
    <w:uiPriority w:val="34"/>
    <w:pPr>
      <w:ind w:firstLine="420" w:firstLineChars="200"/>
    </w:pPr>
  </w:style>
  <w:style w:type="character" w:customStyle="1" w:styleId="21">
    <w:name w:val="标题 字符"/>
    <w:basedOn w:val="12"/>
    <w:link w:val="9"/>
    <w:qFormat/>
    <w:uiPriority w:val="0"/>
    <w:rPr>
      <w:rFonts w:ascii="等线 Light" w:hAnsi="等线 Light" w:eastAsia="宋体" w:cs="Times New Roman"/>
      <w:b/>
      <w:bCs/>
      <w:kern w:val="0"/>
      <w:sz w:val="32"/>
      <w:szCs w:val="32"/>
    </w:rPr>
  </w:style>
  <w:style w:type="character" w:customStyle="1" w:styleId="22">
    <w:name w:val="批注框文本 字符"/>
    <w:basedOn w:val="12"/>
    <w:link w:val="6"/>
    <w:semiHidden/>
    <w:qFormat/>
    <w:uiPriority w:val="99"/>
    <w:rPr>
      <w:sz w:val="18"/>
      <w:szCs w:val="18"/>
    </w:rPr>
  </w:style>
  <w:style w:type="character" w:customStyle="1" w:styleId="23">
    <w:name w:val="正文文本缩进 2 字符"/>
    <w:basedOn w:val="12"/>
    <w:link w:val="5"/>
    <w:qFormat/>
    <w:uiPriority w:val="0"/>
    <w:rPr>
      <w:rFonts w:ascii="Times New Roman" w:hAnsi="Times New Roman" w:eastAsia="宋体" w:cs="Times New Roman"/>
      <w:szCs w:val="20"/>
    </w:rPr>
  </w:style>
  <w:style w:type="character" w:customStyle="1" w:styleId="24">
    <w:name w:val="批注文字 字符1"/>
    <w:link w:val="3"/>
    <w:qFormat/>
    <w:uiPriority w:val="0"/>
  </w:style>
  <w:style w:type="character" w:customStyle="1" w:styleId="25">
    <w:name w:val="批注文字 字符"/>
    <w:basedOn w:val="1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1805</Words>
  <Characters>2218</Characters>
  <Lines>10</Lines>
  <Paragraphs>2</Paragraphs>
  <TotalTime>0</TotalTime>
  <ScaleCrop>false</ScaleCrop>
  <LinksUpToDate>false</LinksUpToDate>
  <CharactersWithSpaces>2534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2019-03-16T06:18:00Z</dcterms:created>
  <dc:creator>雯 张</dc:creator>
  <cp:lastModifiedBy>豪</cp:lastModifiedBy>
  <dcterms:modified xsi:type="dcterms:W3CDTF">2026-03-22T07:45:06Z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2C49A3ABDA2B48FFBCC9C9AD7B37AF97_13</vt:lpwstr>
  </property>
</Properties>
</file>