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475F3">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广告制作合同</w:t>
      </w:r>
    </w:p>
    <w:p w14:paraId="57048E39">
      <w:pPr>
        <w:pStyle w:val="3"/>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委托方：</w:t>
      </w:r>
      <w:r>
        <w:rPr>
          <w:rFonts w:hint="eastAsia" w:ascii="微软雅黑" w:hAnsi="微软雅黑" w:eastAsia="微软雅黑" w:cs="微软雅黑"/>
          <w:sz w:val="24"/>
          <w:szCs w:val="24"/>
          <w:u w:val="single"/>
        </w:rPr>
        <w:t xml:space="preserve">                           </w:t>
      </w:r>
    </w:p>
    <w:p w14:paraId="5FB84516">
      <w:pPr>
        <w:pStyle w:val="3"/>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证件类型及编码：</w:t>
      </w:r>
      <w:r>
        <w:rPr>
          <w:rFonts w:hint="eastAsia" w:ascii="微软雅黑" w:hAnsi="微软雅黑" w:eastAsia="微软雅黑" w:cs="微软雅黑"/>
          <w:sz w:val="24"/>
          <w:szCs w:val="24"/>
          <w:u w:val="single"/>
        </w:rPr>
        <w:t xml:space="preserve">                   </w:t>
      </w:r>
    </w:p>
    <w:p w14:paraId="2A2A9424">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11790753">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2C08A967">
      <w:pPr>
        <w:pStyle w:val="3"/>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4DBADB3B">
      <w:pPr>
        <w:pStyle w:val="3"/>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116C1CAD">
      <w:pPr>
        <w:pStyle w:val="3"/>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委托代理人：</w:t>
      </w:r>
      <w:r>
        <w:rPr>
          <w:rFonts w:hint="eastAsia" w:ascii="微软雅黑" w:hAnsi="微软雅黑" w:eastAsia="微软雅黑" w:cs="微软雅黑"/>
          <w:sz w:val="24"/>
          <w:szCs w:val="24"/>
          <w:u w:val="single"/>
        </w:rPr>
        <w:t xml:space="preserve">                       </w:t>
      </w:r>
    </w:p>
    <w:p w14:paraId="52AF6249">
      <w:pPr>
        <w:pStyle w:val="3"/>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0EB55949">
      <w:pPr>
        <w:pStyle w:val="3"/>
        <w:spacing w:before="312" w:before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承制方：</w:t>
      </w:r>
      <w:r>
        <w:rPr>
          <w:rFonts w:hint="eastAsia" w:ascii="微软雅黑" w:hAnsi="微软雅黑" w:eastAsia="微软雅黑" w:cs="微软雅黑"/>
          <w:sz w:val="24"/>
          <w:szCs w:val="24"/>
          <w:u w:val="single"/>
        </w:rPr>
        <w:t xml:space="preserve">                           </w:t>
      </w:r>
    </w:p>
    <w:p w14:paraId="24F6B025">
      <w:pPr>
        <w:pStyle w:val="3"/>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C9897F9">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79371D49">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50E83702">
      <w:pPr>
        <w:pStyle w:val="3"/>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1ABAB443">
      <w:pPr>
        <w:pStyle w:val="3"/>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53330A4F">
      <w:pPr>
        <w:pStyle w:val="3"/>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委托代理人：</w:t>
      </w:r>
      <w:r>
        <w:rPr>
          <w:rFonts w:hint="eastAsia" w:ascii="微软雅黑" w:hAnsi="微软雅黑" w:eastAsia="微软雅黑" w:cs="微软雅黑"/>
          <w:sz w:val="24"/>
          <w:szCs w:val="24"/>
          <w:u w:val="single"/>
        </w:rPr>
        <w:t xml:space="preserve">                       </w:t>
      </w:r>
    </w:p>
    <w:p w14:paraId="22D7BB2E">
      <w:pPr>
        <w:pStyle w:val="3"/>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75E22E8E">
      <w:pPr>
        <w:pStyle w:val="3"/>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本着双方互利互惠的原则，经双方友好协商，列定以下条款，希共同遵守： </w:t>
      </w:r>
    </w:p>
    <w:p w14:paraId="4E5847C6">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（一）双方严格遵守《广告管理条例》。 </w:t>
      </w:r>
    </w:p>
    <w:p w14:paraId="0DD88E1A">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（二）承制方必须保证制作质量，在委托方审稿期间，委托方有权要求修改。 </w:t>
      </w:r>
    </w:p>
    <w:p w14:paraId="757E8A47">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（三）委托方在确认稿件并交付承制方制作后，不得随意更改稿件内容，如果因此而增加承制方的工作量，委托方应另付费用。</w:t>
      </w:r>
    </w:p>
    <w:p w14:paraId="29BB0EDF">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（四）委托方负责提供与本项目有关的资料，在承制方制作过程中，委托方应尽力配合，给与方便。 </w:t>
      </w:r>
    </w:p>
    <w:p w14:paraId="1E7AC919">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（五）双方在合同上签字后，委托方即付制作总金额的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％，作为预付款。其余款项在全部制作完成，并经委托方审核确定后，交稿时全部结清。 </w:t>
      </w:r>
    </w:p>
    <w:p w14:paraId="284548BA">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（六）承制方若未按设计方案中的具体工作进程实施完成该项目的设计（因委托方原因延误的时间除外)，委托方有权按合同总额的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％起向承制方要求负责赔偿。 </w:t>
      </w:r>
    </w:p>
    <w:p w14:paraId="23E15584">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（七）承制时间为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日止。 </w:t>
      </w:r>
    </w:p>
    <w:p w14:paraId="51A5760A">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（八）本合同一式两份，双方法定代表人或指定代表人签字，并加盖双方单位公章，即生法律效力。 </w:t>
      </w:r>
    </w:p>
    <w:p w14:paraId="088FFD6F">
      <w:pPr>
        <w:ind w:firstLine="480" w:firstLineChars="200"/>
        <w:jc w:val="left"/>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（九）凡因本合同引起的或与本合同有关的任何争议，均提交蚌埠仲裁委员会，按照该会的仲裁规则进行仲裁。仲裁裁决是终局的，对双方均有约束力。</w:t>
      </w:r>
    </w:p>
    <w:p w14:paraId="48CB2BFF">
      <w:pPr>
        <w:spacing w:line="360" w:lineRule="auto"/>
        <w:ind w:firstLine="480" w:firstLineChars="200"/>
        <w:jc w:val="left"/>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送达方式以及送达条款</w:t>
      </w:r>
    </w:p>
    <w:p w14:paraId="3E43C229">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1、送达地址以及方式</w:t>
      </w:r>
    </w:p>
    <w:p w14:paraId="738E4393">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1.1送达地址</w:t>
      </w:r>
    </w:p>
    <w:p w14:paraId="2B95A6F2">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（1）.甲方确认送达地址如下：</w:t>
      </w:r>
    </w:p>
    <w:p w14:paraId="2B57060C">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地址：    省    市    区/县    路    号，</w:t>
      </w:r>
    </w:p>
    <w:p w14:paraId="0A0F8365">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邮编：            ，</w:t>
      </w:r>
    </w:p>
    <w:p w14:paraId="4289FA70">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联系人：      ，</w:t>
      </w:r>
    </w:p>
    <w:p w14:paraId="4B89F2D7">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联系电话：      -            。</w:t>
      </w:r>
    </w:p>
    <w:p w14:paraId="3400C06D">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甲方电子送达方式如下：</w:t>
      </w:r>
    </w:p>
    <w:p w14:paraId="19479F99">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 xml:space="preserve">手机短信：                  </w:t>
      </w:r>
    </w:p>
    <w:p w14:paraId="4FC189F4">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 xml:space="preserve">传真：      -            </w:t>
      </w:r>
    </w:p>
    <w:p w14:paraId="3863FDAB">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 xml:space="preserve">即时通讯账号（微信号）：                  </w:t>
      </w:r>
    </w:p>
    <w:p w14:paraId="3D1244B5">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电子邮箱：            。</w:t>
      </w:r>
    </w:p>
    <w:p w14:paraId="298F9C8B">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（2）.乙方确认送达地址如下：</w:t>
      </w:r>
    </w:p>
    <w:p w14:paraId="0E87258D">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地址：    省    市    区/县    路    号，</w:t>
      </w:r>
    </w:p>
    <w:p w14:paraId="12370D51">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邮编：            ，</w:t>
      </w:r>
    </w:p>
    <w:p w14:paraId="7962DD7B">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联系人：      ，</w:t>
      </w:r>
    </w:p>
    <w:p w14:paraId="1938E5C4">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联系电话：      -            。</w:t>
      </w:r>
    </w:p>
    <w:p w14:paraId="251C0DDC">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乙方电子送达方式如下：</w:t>
      </w:r>
    </w:p>
    <w:p w14:paraId="77D149C1">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 xml:space="preserve">手机短信：                  </w:t>
      </w:r>
    </w:p>
    <w:p w14:paraId="24227CE5">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 xml:space="preserve">传真：      -            </w:t>
      </w:r>
    </w:p>
    <w:p w14:paraId="7262EC50">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 xml:space="preserve">即时通讯账号（微信号）：                  </w:t>
      </w:r>
    </w:p>
    <w:p w14:paraId="75B3C088">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电子邮箱：</w:t>
      </w:r>
    </w:p>
    <w:p w14:paraId="6D34A6AC">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1.2送达方式</w:t>
      </w:r>
    </w:p>
    <w:p w14:paraId="39686997">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 xml:space="preserve"> 双方同意，本合同项下的通知、函件、诉讼文书等文件，以下列方式送达对方：</w:t>
      </w:r>
    </w:p>
    <w:p w14:paraId="6CCD6638">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（1）.直接送达：将文件送至对方指定的送达地址，视为已送达；</w:t>
      </w:r>
    </w:p>
    <w:p w14:paraId="238217A8">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（2）.邮寄送达：将文件通过挂号信、特快专递等方式寄至对方指定的送达地址，以邮戳日期为准，视为已送达；</w:t>
      </w:r>
    </w:p>
    <w:p w14:paraId="75336445">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（3）.电子送达：将文件通过电子邮件、短信、微信等方式发送至对方指定的电子邮箱、手机号码等，发送成功即视为已送达。</w:t>
      </w:r>
    </w:p>
    <w:p w14:paraId="3F49CB57">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2、送达条款</w:t>
      </w:r>
    </w:p>
    <w:p w14:paraId="090F7735">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2.1本送达条款适用于合同履行履行期间及合同纠纷解决过程中的所有文件送达。</w:t>
      </w:r>
    </w:p>
    <w:p w14:paraId="51FC6123">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2.2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F791D92">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2.3双方在合同履行过程中由双方共同明示或默示确认的合同约定外的送达地址和联系方式不影响送达效力。</w:t>
      </w:r>
    </w:p>
    <w:p w14:paraId="04900029">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2.4双方认同电子送达效力，合同履行过程中或法院、仲裁委员会按照法律或适时有效的仲裁规则需要进行电子送达的，内容自进入双方接收系统之日起，视为送达成功。</w:t>
      </w:r>
    </w:p>
    <w:p w14:paraId="0E7E320D">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2.5双方应当保证本合同约定送达地址以及联系方式为有效地址及联系方式。一方变更送达信息的，应在变更后一日内通知对方，未及时通知的，发送方按照原约定方式送达，视为送达成功。</w:t>
      </w:r>
    </w:p>
    <w:p w14:paraId="3057C815">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2.6双方发生争议，关于裁判机构的送达文书，接收方存在以下行为之一的，蚌埠仲裁委员会有权依据法律和适时有效的仲裁规则规定进行送达，法律与仲裁规则规定程序完成之日，视为送达成功：</w:t>
      </w:r>
    </w:p>
    <w:p w14:paraId="5E242A0A">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（1）.擅自变更送达地址及信息且未及时通知对方的；</w:t>
      </w:r>
    </w:p>
    <w:p w14:paraId="68AD2F27">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（2）.送达地址与信息同工商登记信息不一致且未及时更改的；</w:t>
      </w:r>
    </w:p>
    <w:p w14:paraId="62EF2F9A">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（3）.故意不接收蚌埠仲裁委员会送达文书的；</w:t>
      </w:r>
    </w:p>
    <w:p w14:paraId="0608C621">
      <w:pPr>
        <w:wordWrap w:val="0"/>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（4）.因接收方过错造成无法正常送达的其他行为。</w:t>
      </w:r>
    </w:p>
    <w:p w14:paraId="30FDFE5A">
      <w:pPr>
        <w:pStyle w:val="3"/>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（十）合同金额：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tbl>
      <w:tblPr>
        <w:tblStyle w:val="6"/>
        <w:tblW w:w="5000" w:type="pct"/>
        <w:tblInd w:w="0" w:type="dxa"/>
        <w:tblLayout w:type="autofit"/>
        <w:tblCellMar>
          <w:top w:w="0" w:type="dxa"/>
          <w:left w:w="108" w:type="dxa"/>
          <w:bottom w:w="0" w:type="dxa"/>
          <w:right w:w="108" w:type="dxa"/>
        </w:tblCellMar>
      </w:tblPr>
      <w:tblGrid>
        <w:gridCol w:w="4261"/>
        <w:gridCol w:w="4261"/>
      </w:tblGrid>
      <w:tr w14:paraId="69C516EE">
        <w:tblPrEx>
          <w:tblCellMar>
            <w:top w:w="0" w:type="dxa"/>
            <w:left w:w="108" w:type="dxa"/>
            <w:bottom w:w="0" w:type="dxa"/>
            <w:right w:w="108" w:type="dxa"/>
          </w:tblCellMar>
        </w:tblPrEx>
        <w:tc>
          <w:tcPr>
            <w:tcW w:w="2500" w:type="pct"/>
            <w:shd w:val="clear" w:color="auto" w:fill="auto"/>
          </w:tcPr>
          <w:p w14:paraId="5537AC9E">
            <w:pPr>
              <w:pStyle w:val="3"/>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委托方（盖章）：</w:t>
            </w:r>
            <w:r>
              <w:rPr>
                <w:rFonts w:hint="eastAsia" w:ascii="微软雅黑" w:hAnsi="微软雅黑" w:eastAsia="微软雅黑" w:cs="微软雅黑"/>
                <w:sz w:val="24"/>
                <w:szCs w:val="24"/>
                <w:u w:val="single"/>
              </w:rPr>
              <w:t xml:space="preserve">                </w:t>
            </w:r>
          </w:p>
        </w:tc>
        <w:tc>
          <w:tcPr>
            <w:tcW w:w="2500" w:type="pct"/>
            <w:shd w:val="clear" w:color="auto" w:fill="auto"/>
          </w:tcPr>
          <w:p w14:paraId="1B619850">
            <w:pPr>
              <w:pStyle w:val="3"/>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承制方（盖章）：</w:t>
            </w:r>
            <w:r>
              <w:rPr>
                <w:rFonts w:hint="eastAsia" w:ascii="微软雅黑" w:hAnsi="微软雅黑" w:eastAsia="微软雅黑" w:cs="微软雅黑"/>
                <w:sz w:val="24"/>
                <w:szCs w:val="24"/>
                <w:u w:val="single"/>
              </w:rPr>
              <w:t xml:space="preserve">                </w:t>
            </w:r>
          </w:p>
        </w:tc>
      </w:tr>
      <w:tr w14:paraId="7336191A">
        <w:tblPrEx>
          <w:tblCellMar>
            <w:top w:w="0" w:type="dxa"/>
            <w:left w:w="108" w:type="dxa"/>
            <w:bottom w:w="0" w:type="dxa"/>
            <w:right w:w="108" w:type="dxa"/>
          </w:tblCellMar>
        </w:tblPrEx>
        <w:tc>
          <w:tcPr>
            <w:tcW w:w="2500" w:type="pct"/>
            <w:shd w:val="clear" w:color="auto" w:fill="auto"/>
          </w:tcPr>
          <w:p w14:paraId="5F4D5E0D">
            <w:pPr>
              <w:pStyle w:val="3"/>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代表（签字）：</w:t>
            </w:r>
            <w:r>
              <w:rPr>
                <w:rFonts w:hint="eastAsia" w:ascii="微软雅黑" w:hAnsi="微软雅黑" w:eastAsia="微软雅黑" w:cs="微软雅黑"/>
                <w:sz w:val="24"/>
                <w:szCs w:val="24"/>
                <w:u w:val="single"/>
              </w:rPr>
              <w:t xml:space="preserve">                  </w:t>
            </w:r>
          </w:p>
        </w:tc>
        <w:tc>
          <w:tcPr>
            <w:tcW w:w="2500" w:type="pct"/>
            <w:shd w:val="clear" w:color="auto" w:fill="auto"/>
          </w:tcPr>
          <w:p w14:paraId="685911CC">
            <w:pPr>
              <w:pStyle w:val="3"/>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代表（签字）：</w:t>
            </w:r>
            <w:r>
              <w:rPr>
                <w:rFonts w:hint="eastAsia" w:ascii="微软雅黑" w:hAnsi="微软雅黑" w:eastAsia="微软雅黑" w:cs="微软雅黑"/>
                <w:sz w:val="24"/>
                <w:szCs w:val="24"/>
                <w:u w:val="single"/>
              </w:rPr>
              <w:t xml:space="preserve">                  </w:t>
            </w:r>
          </w:p>
        </w:tc>
      </w:tr>
      <w:tr w14:paraId="684186A5">
        <w:tblPrEx>
          <w:tblCellMar>
            <w:top w:w="0" w:type="dxa"/>
            <w:left w:w="108" w:type="dxa"/>
            <w:bottom w:w="0" w:type="dxa"/>
            <w:right w:w="108" w:type="dxa"/>
          </w:tblCellMar>
        </w:tblPrEx>
        <w:tc>
          <w:tcPr>
            <w:tcW w:w="2500" w:type="pct"/>
            <w:shd w:val="clear" w:color="auto" w:fill="auto"/>
          </w:tcPr>
          <w:p w14:paraId="60F72168">
            <w:pPr>
              <w:pStyle w:val="3"/>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tc>
        <w:tc>
          <w:tcPr>
            <w:tcW w:w="2500" w:type="pct"/>
            <w:shd w:val="clear" w:color="auto" w:fill="auto"/>
          </w:tcPr>
          <w:p w14:paraId="4AF87C83">
            <w:pPr>
              <w:pStyle w:val="3"/>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tc>
      </w:tr>
    </w:tbl>
    <w:p w14:paraId="2695E6C2">
      <w:pPr>
        <w:pStyle w:val="3"/>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E9EC8">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0</w:t>
    </w:r>
    <w:r>
      <w:rPr>
        <w:rStyle w:val="9"/>
      </w:rPr>
      <w:fldChar w:fldCharType="end"/>
    </w:r>
  </w:p>
  <w:p w14:paraId="7BEAD8D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F1E74">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1AC2BDC1">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E474D"/>
    <w:rsid w:val="002564E2"/>
    <w:rsid w:val="002B0E87"/>
    <w:rsid w:val="004C1B00"/>
    <w:rsid w:val="005477E3"/>
    <w:rsid w:val="00752929"/>
    <w:rsid w:val="008F7E80"/>
    <w:rsid w:val="009876E8"/>
    <w:rsid w:val="009958D9"/>
    <w:rsid w:val="00AF0098"/>
    <w:rsid w:val="00C660CC"/>
    <w:rsid w:val="00DB581C"/>
    <w:rsid w:val="72296A01"/>
    <w:rsid w:val="75FE7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1"/>
    <w:unhideWhenUsed/>
    <w:qFormat/>
    <w:uiPriority w:val="0"/>
    <w:pPr>
      <w:keepNext/>
      <w:keepLines/>
      <w:spacing w:before="260" w:after="260" w:line="416" w:lineRule="auto"/>
      <w:jc w:val="center"/>
      <w:outlineLvl w:val="2"/>
    </w:pPr>
    <w:rPr>
      <w:rFonts w:eastAsia="宋体"/>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5"/>
    <w:qFormat/>
    <w:uiPriority w:val="0"/>
    <w:rPr>
      <w:rFonts w:ascii="宋体" w:hAnsi="Courier New" w:eastAsia="宋体" w:cs="Courier New"/>
      <w:szCs w:val="21"/>
    </w:rPr>
  </w:style>
  <w:style w:type="paragraph" w:styleId="4">
    <w:name w:val="footer"/>
    <w:basedOn w:val="1"/>
    <w:link w:val="1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0"/>
    <w:pPr>
      <w:widowControl/>
      <w:spacing w:before="100" w:beforeAutospacing="1" w:after="100" w:afterAutospacing="1" w:line="360" w:lineRule="auto"/>
      <w:jc w:val="left"/>
    </w:pPr>
    <w:rPr>
      <w:rFonts w:ascii="宋体" w:hAnsi="宋体" w:eastAsia="宋体" w:cs="宋体"/>
      <w:kern w:val="0"/>
      <w:szCs w:val="21"/>
    </w:rPr>
  </w:style>
  <w:style w:type="table" w:styleId="7">
    <w:name w:val="Table Grid"/>
    <w:basedOn w:val="6"/>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qFormat/>
    <w:uiPriority w:val="0"/>
    <w:rPr>
      <w:color w:val="0000FF"/>
      <w:u w:val="single"/>
    </w:rPr>
  </w:style>
  <w:style w:type="character" w:customStyle="1" w:styleId="11">
    <w:name w:val="标题 3 字符"/>
    <w:basedOn w:val="8"/>
    <w:link w:val="2"/>
    <w:qFormat/>
    <w:uiPriority w:val="0"/>
    <w:rPr>
      <w:rFonts w:eastAsia="宋体"/>
      <w:b/>
      <w:bCs/>
      <w:sz w:val="32"/>
      <w:szCs w:val="32"/>
    </w:rPr>
  </w:style>
  <w:style w:type="character" w:customStyle="1" w:styleId="12">
    <w:name w:val="页脚 字符"/>
    <w:basedOn w:val="8"/>
    <w:link w:val="4"/>
    <w:qFormat/>
    <w:uiPriority w:val="0"/>
    <w:rPr>
      <w:rFonts w:ascii="Times New Roman" w:hAnsi="Times New Roman" w:eastAsia="宋体" w:cs="Times New Roman"/>
      <w:sz w:val="18"/>
      <w:szCs w:val="18"/>
    </w:rPr>
  </w:style>
  <w:style w:type="paragraph" w:customStyle="1" w:styleId="13">
    <w:name w:val="普通 (Web)"/>
    <w:basedOn w:val="1"/>
    <w:link w:val="14"/>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4">
    <w:name w:val="普通 (Web) Char"/>
    <w:link w:val="13"/>
    <w:qFormat/>
    <w:uiPriority w:val="0"/>
    <w:rPr>
      <w:rFonts w:ascii="宋体" w:hAnsi="宋体" w:eastAsia="宋体" w:cs="Times New Roman"/>
      <w:color w:val="000000"/>
      <w:kern w:val="0"/>
      <w:sz w:val="24"/>
      <w:szCs w:val="24"/>
    </w:rPr>
  </w:style>
  <w:style w:type="character" w:customStyle="1" w:styleId="15">
    <w:name w:val="纯文本 字符"/>
    <w:basedOn w:val="8"/>
    <w:link w:val="3"/>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1473</Words>
  <Characters>1489</Characters>
  <Lines>8</Lines>
  <Paragraphs>2</Paragraphs>
  <TotalTime>0</TotalTime>
  <ScaleCrop>false</ScaleCrop>
  <LinksUpToDate>false</LinksUpToDate>
  <CharactersWithSpaces>2315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2019-03-16T05:57:00Z</dcterms:created>
  <dc:creator>雯 张</dc:creator>
  <cp:lastModifiedBy>豪</cp:lastModifiedBy>
  <dcterms:modified xsi:type="dcterms:W3CDTF">2026-03-22T07:48:24Z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190527B5FEB643E09A1AA3681A9C8CEA_13</vt:lpwstr>
  </property>
</Properties>
</file>