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09D8D">
      <w:pPr>
        <w:spacing w:line="360" w:lineRule="auto"/>
        <w:jc w:val="center"/>
        <w:rPr>
          <w:rFonts w:hint="eastAsia" w:ascii="楷体" w:hAnsi="楷体" w:eastAsia="楷体" w:cs="楷体"/>
          <w:color w:val="auto"/>
          <w:sz w:val="24"/>
        </w:rPr>
      </w:pPr>
    </w:p>
    <w:p w14:paraId="4DA0E9C7">
      <w:pPr>
        <w:spacing w:line="360" w:lineRule="auto"/>
        <w:jc w:val="center"/>
        <w:rPr>
          <w:rFonts w:hint="eastAsia" w:ascii="楷体" w:hAnsi="楷体" w:eastAsia="楷体" w:cs="楷体"/>
          <w:color w:val="auto"/>
          <w:sz w:val="24"/>
        </w:rPr>
      </w:pPr>
    </w:p>
    <w:p w14:paraId="4A8C0A0F">
      <w:pPr>
        <w:spacing w:line="360" w:lineRule="auto"/>
        <w:jc w:val="center"/>
        <w:rPr>
          <w:rFonts w:hint="eastAsia" w:ascii="微软雅黑" w:hAnsi="微软雅黑" w:eastAsia="微软雅黑" w:cs="微软雅黑"/>
          <w:b/>
          <w:color w:val="auto"/>
          <w:sz w:val="24"/>
          <w:szCs w:val="24"/>
        </w:rPr>
      </w:pPr>
      <w:bookmarkStart w:id="0" w:name="_GoBack"/>
      <w:r>
        <w:rPr>
          <w:rFonts w:hint="eastAsia" w:ascii="微软雅黑" w:hAnsi="微软雅黑" w:eastAsia="微软雅黑" w:cs="微软雅黑"/>
          <w:b/>
          <w:color w:val="auto"/>
          <w:spacing w:val="57"/>
          <w:sz w:val="24"/>
          <w:szCs w:val="24"/>
        </w:rPr>
        <w:t>废矿物油委托收集合同</w:t>
      </w:r>
    </w:p>
    <w:p w14:paraId="1BC28938">
      <w:pPr>
        <w:spacing w:line="360" w:lineRule="auto"/>
        <w:ind w:firstLine="480" w:firstLineChars="200"/>
        <w:rPr>
          <w:rFonts w:hint="eastAsia" w:ascii="微软雅黑" w:hAnsi="微软雅黑" w:eastAsia="微软雅黑" w:cs="微软雅黑"/>
          <w:color w:val="auto"/>
          <w:sz w:val="24"/>
          <w:szCs w:val="24"/>
        </w:rPr>
      </w:pPr>
    </w:p>
    <w:p w14:paraId="497EB70B">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甲方（委托方）：</w:t>
      </w:r>
    </w:p>
    <w:p w14:paraId="69643648">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法定代表人：</w:t>
      </w:r>
    </w:p>
    <w:p w14:paraId="5CE3BD9C">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统一社会信用代码：</w:t>
      </w:r>
    </w:p>
    <w:p w14:paraId="1367AC48">
      <w:pPr>
        <w:spacing w:line="360" w:lineRule="auto"/>
        <w:ind w:firstLine="480" w:firstLineChars="200"/>
        <w:rPr>
          <w:rFonts w:hint="eastAsia" w:ascii="微软雅黑" w:hAnsi="微软雅黑" w:eastAsia="微软雅黑" w:cs="微软雅黑"/>
          <w:b/>
          <w:bCs/>
          <w:color w:val="auto"/>
          <w:sz w:val="24"/>
          <w:szCs w:val="24"/>
        </w:rPr>
      </w:pPr>
    </w:p>
    <w:p w14:paraId="051DA19D">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乙方（受托方）：</w:t>
      </w:r>
    </w:p>
    <w:p w14:paraId="5567E1ED">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法定代表人：</w:t>
      </w:r>
    </w:p>
    <w:p w14:paraId="78C1F578">
      <w:pPr>
        <w:spacing w:line="360" w:lineRule="auto"/>
        <w:ind w:firstLine="480" w:firstLineChars="20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统一社会信用代码：</w:t>
      </w:r>
    </w:p>
    <w:p w14:paraId="5347D5AF">
      <w:pPr>
        <w:spacing w:line="360" w:lineRule="auto"/>
        <w:ind w:firstLine="480" w:firstLineChars="200"/>
        <w:rPr>
          <w:rFonts w:hint="eastAsia" w:ascii="微软雅黑" w:hAnsi="微软雅黑" w:eastAsia="微软雅黑" w:cs="微软雅黑"/>
          <w:color w:val="auto"/>
          <w:sz w:val="24"/>
          <w:szCs w:val="24"/>
          <w:u w:val="single"/>
        </w:rPr>
      </w:pPr>
    </w:p>
    <w:p w14:paraId="38C6EA6B">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乙双方根据《中华人民共和国固体废物污染环境防治法》、《危险废物转移联单管理办法》等有关规定，甲方同意将生产、经营或其他过程中产生的废矿物油委托乙方收集，本着自愿、平等、互利的原则，就委托收集及相关事宜协商一致，订立本合同。</w:t>
      </w:r>
    </w:p>
    <w:p w14:paraId="3D9DF064">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第一条  委托内容</w:t>
      </w:r>
    </w:p>
    <w:p w14:paraId="217FC85A">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甲方委托乙方收集的危险废物为：废矿物油（代码900-214-08）。</w:t>
      </w:r>
    </w:p>
    <w:p w14:paraId="7C996043">
      <w:pPr>
        <w:spacing w:line="360" w:lineRule="auto"/>
        <w:ind w:firstLine="480" w:firstLineChars="200"/>
        <w:rPr>
          <w:rFonts w:hint="eastAsia" w:ascii="微软雅黑" w:hAnsi="微软雅黑" w:eastAsia="微软雅黑" w:cs="微软雅黑"/>
          <w:color w:val="auto"/>
          <w:sz w:val="24"/>
          <w:szCs w:val="24"/>
        </w:rPr>
      </w:pPr>
    </w:p>
    <w:p w14:paraId="3BEB26AE">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第二条  双方责任</w:t>
      </w:r>
    </w:p>
    <w:p w14:paraId="0EEF25E3">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（一）甲方权利与义务</w:t>
      </w:r>
    </w:p>
    <w:p w14:paraId="320FCFC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1.甲方委托乙方收集甲方在生产经营过程中产生的废矿物油。</w:t>
      </w:r>
    </w:p>
    <w:p w14:paraId="49373B1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甲方须在废矿物油的包装容器表面明显处张贴标签，标签上的危废名称、危废类别、危废代码同本合同所约定的危废名称一致。甲方的包装物或标签若不符合本合同要求、或者危废标签名称与包装内危废不一致时，乙方有权拒绝接收甲方危废。禁止随意混合其它性质不相容的其他物质。</w:t>
      </w:r>
    </w:p>
    <w:p w14:paraId="5BA1831D">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3.合同签订前（或者废矿物油收集前），甲方已提供废矿物油的样品给乙方，乙方已对废矿物油的性状、包装及运输条件进行评估，合同签订后乙方不再就废矿物油性状、包装及运输条件等要求变更合同。</w:t>
      </w:r>
    </w:p>
    <w:p w14:paraId="695E164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4.甲方应指定专人(姓名联系电话)负责清运通知、装车、计量、费用支付等事宜。</w:t>
      </w:r>
    </w:p>
    <w:p w14:paraId="70954FC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5.甲方在通知乙方安排转运废矿物油时，督促双方取得并开具相应的危险废物转移联单，并加盖公章。</w:t>
      </w:r>
    </w:p>
    <w:p w14:paraId="690A7879">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（二）乙方权利与义务</w:t>
      </w:r>
    </w:p>
    <w:p w14:paraId="71D3FBE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1.乙方负责本合同有效期内，安全收集甲方移交的废矿物油，不得擅自中止接收或转交第三方接收。</w:t>
      </w:r>
    </w:p>
    <w:p w14:paraId="3CA5D96D">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2.乙方负责废矿物油转移、协助甲方处置核查等事宜。</w:t>
      </w:r>
    </w:p>
    <w:p w14:paraId="0479ACF1">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3.乙方负责按照国家及地方环保部门要求办理危险废物转移审批手续，在甲方通知乙方转运废矿物油时，对报批期限、种类及数量进行核实，如出现下列违反环保部门管理要求的情况时，将不予转移。</w:t>
      </w:r>
    </w:p>
    <w:p w14:paraId="59BED10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（1）危险废物转移审批手续未办理完结；</w:t>
      </w:r>
    </w:p>
    <w:p w14:paraId="468010D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（2）危险废物种类不在报批范围内、转移时间不在报批转移时间内、转移数量超出报批转移量。</w:t>
      </w:r>
    </w:p>
    <w:p w14:paraId="1087F32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4.乙方在回收完毕离开甲方场所前，有权对甲方要求转运收集的废矿物油进行抽检，若检测结果与甲方提供的种类、性状证明有明显差别时，乙方有权拒绝接收。</w:t>
      </w:r>
    </w:p>
    <w:p w14:paraId="26EF2A05">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5.甲方委托乙方收集的废矿物油种类、性质要与合同约定的物质一致，否则乙方有权拒接转移、接收。</w:t>
      </w:r>
    </w:p>
    <w:p w14:paraId="73150ED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6.乙方工作人员进入甲方场所作业时，需穿着工作服，佩戴工作证，遵守甲方场所各项规定；在进行废物回收作业过程中应注意安全，若乙方在操作过程</w:t>
      </w:r>
      <w:r>
        <w:rPr>
          <w:rFonts w:hint="eastAsia" w:ascii="微软雅黑" w:hAnsi="微软雅黑" w:eastAsia="微软雅黑" w:cs="微软雅黑"/>
          <w:color w:val="auto"/>
          <w:sz w:val="24"/>
          <w:szCs w:val="24"/>
          <w:lang w:val="en-US" w:eastAsia="zh-CN"/>
        </w:rPr>
        <w:t>中</w:t>
      </w:r>
      <w:r>
        <w:rPr>
          <w:rFonts w:hint="eastAsia" w:ascii="微软雅黑" w:hAnsi="微软雅黑" w:eastAsia="微软雅黑" w:cs="微软雅黑"/>
          <w:color w:val="auto"/>
          <w:sz w:val="24"/>
          <w:szCs w:val="24"/>
        </w:rPr>
        <w:t>发生安全事故，乙方承担其相应责任，赔偿由此给甲方造成的损失。</w:t>
      </w:r>
    </w:p>
    <w:p w14:paraId="03FC188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7.乙方保证具备提供本合同服务的法定资质，在合同期内乙方确保该资质持续有效。</w:t>
      </w:r>
    </w:p>
    <w:p w14:paraId="5173E7F1">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8.乙方应当严格按照《危险废物转移联单管理办法》的有关规定如实填写《危险废物转移联单》，若未如实填写，产生的相应后果均由乙方承担。</w:t>
      </w:r>
    </w:p>
    <w:p w14:paraId="1B9429EE">
      <w:pPr>
        <w:spacing w:line="360" w:lineRule="auto"/>
        <w:ind w:firstLine="480" w:firstLineChars="200"/>
        <w:rPr>
          <w:rFonts w:hint="eastAsia" w:ascii="微软雅黑" w:hAnsi="微软雅黑" w:eastAsia="微软雅黑" w:cs="微软雅黑"/>
          <w:color w:val="auto"/>
          <w:sz w:val="24"/>
          <w:szCs w:val="24"/>
        </w:rPr>
      </w:pPr>
    </w:p>
    <w:p w14:paraId="0BC8E0A3">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第三条  装卸、转移、运输和处置要求</w:t>
      </w:r>
    </w:p>
    <w:p w14:paraId="7F92A6C3">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（一）装卸</w:t>
      </w:r>
    </w:p>
    <w:p w14:paraId="3CA23110">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1.乙方负责装卸废矿物油和提供装卸的工具。</w:t>
      </w:r>
    </w:p>
    <w:p w14:paraId="5FD26AB5">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2.乙方在废矿物油装卸过程中应按照相应的危险废物装卸规定来规范、安全操作，若在装卸过程中造成的环境污染及经济损失由乙方承担。</w:t>
      </w:r>
    </w:p>
    <w:p w14:paraId="19EDEED4">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（二）运输和转移要求</w:t>
      </w:r>
    </w:p>
    <w:p w14:paraId="2892CB51">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1.乙方负责运输</w:t>
      </w:r>
    </w:p>
    <w:p w14:paraId="380125BC">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（1）乙方在运输过程中必须采取防止污染环境的措施，严格按国家有关危险废物的运输管理的规定执行，在运输过程中乙方违反国家有关危险废物运输规定被政府行政部门处罚或造成事故的，由乙方承担责任。</w:t>
      </w:r>
    </w:p>
    <w:p w14:paraId="628C16F3">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（2）甲方需提前3个工作日通知乙方，以便乙方调度安排车辆运输；在乙方运输时，甲方应给予乙方进出厂区的方便，并负责配合及时装车。</w:t>
      </w:r>
    </w:p>
    <w:p w14:paraId="73FD949D">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（3）甲方在乙方上门后取消当次回收造成乙方车辆放空的，甲方须承担乙方运输车辆正常行驶产生的费用。</w:t>
      </w:r>
    </w:p>
    <w:p w14:paraId="59EE1534">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（4）乙方至甲方运输时应遵守甲方规章制度及指挥。乙方违反甲方规章制度及指挥，造成人身安全及双方财产损失的，甲方有权向乙方提出相应赔偿的要求。</w:t>
      </w:r>
    </w:p>
    <w:p w14:paraId="7798862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（三）贮存和处理处置</w:t>
      </w:r>
    </w:p>
    <w:p w14:paraId="20C1A9E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1.自乙方进入甲方存储地点之时起，危险废物的保管责任由乙方承担，乙方应当按照国家和地方的有关规定，对危废进行安全贮存并及时处理，如果发生泄露、倾倒或其他事故，乙方负责清理并承担责任。</w:t>
      </w:r>
    </w:p>
    <w:p w14:paraId="101D31D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2.乙方在废矿物油收集过程中应当遵守国家及地方相关管理要求，否则在收集过程中产生的环境污染，由乙方承担相应责任。</w:t>
      </w:r>
    </w:p>
    <w:p w14:paraId="28281C4E">
      <w:pPr>
        <w:spacing w:line="360" w:lineRule="auto"/>
        <w:ind w:firstLine="480" w:firstLineChars="200"/>
        <w:rPr>
          <w:rFonts w:hint="eastAsia" w:ascii="微软雅黑" w:hAnsi="微软雅黑" w:eastAsia="微软雅黑" w:cs="微软雅黑"/>
          <w:color w:val="auto"/>
          <w:sz w:val="24"/>
          <w:szCs w:val="24"/>
        </w:rPr>
      </w:pPr>
    </w:p>
    <w:p w14:paraId="4AA0CA27">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第四条  委托期限</w:t>
      </w:r>
    </w:p>
    <w:p w14:paraId="3CD2EF0D">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甲方委托乙方收集、运输、贮存和处置危险废物的期限自</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年</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月</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日至</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年</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月</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日止。到期后，若双方愿意继续合作，应提前30天，经协商一致后重新签订协议。</w:t>
      </w:r>
    </w:p>
    <w:p w14:paraId="6E927159">
      <w:pPr>
        <w:spacing w:line="360" w:lineRule="auto"/>
        <w:ind w:firstLine="480" w:firstLineChars="200"/>
        <w:rPr>
          <w:rFonts w:hint="eastAsia" w:ascii="微软雅黑" w:hAnsi="微软雅黑" w:eastAsia="微软雅黑" w:cs="微软雅黑"/>
          <w:color w:val="auto"/>
          <w:sz w:val="24"/>
          <w:szCs w:val="24"/>
        </w:rPr>
      </w:pPr>
    </w:p>
    <w:p w14:paraId="2D1B91E8">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第五条  委托服务费用</w:t>
      </w:r>
    </w:p>
    <w:p w14:paraId="6B06728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1.废矿物油回收价标准：</w:t>
      </w:r>
    </w:p>
    <w:tbl>
      <w:tblPr>
        <w:tblStyle w:val="3"/>
        <w:tblW w:w="759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437"/>
        <w:gridCol w:w="1398"/>
        <w:gridCol w:w="1418"/>
        <w:gridCol w:w="1134"/>
        <w:gridCol w:w="1418"/>
      </w:tblGrid>
      <w:tr w14:paraId="7FE0C0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791" w:type="dxa"/>
            <w:vAlign w:val="center"/>
          </w:tcPr>
          <w:p w14:paraId="28CE63AE">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序号</w:t>
            </w:r>
          </w:p>
        </w:tc>
        <w:tc>
          <w:tcPr>
            <w:tcW w:w="1437" w:type="dxa"/>
            <w:vAlign w:val="center"/>
          </w:tcPr>
          <w:p w14:paraId="0C981D14">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项目名称</w:t>
            </w:r>
          </w:p>
        </w:tc>
        <w:tc>
          <w:tcPr>
            <w:tcW w:w="1398" w:type="dxa"/>
            <w:vAlign w:val="center"/>
          </w:tcPr>
          <w:p w14:paraId="340E7596">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危废类别</w:t>
            </w:r>
          </w:p>
        </w:tc>
        <w:tc>
          <w:tcPr>
            <w:tcW w:w="1418" w:type="dxa"/>
            <w:vAlign w:val="center"/>
          </w:tcPr>
          <w:p w14:paraId="394D943C">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危废代码</w:t>
            </w:r>
          </w:p>
        </w:tc>
        <w:tc>
          <w:tcPr>
            <w:tcW w:w="1134" w:type="dxa"/>
            <w:vAlign w:val="center"/>
          </w:tcPr>
          <w:p w14:paraId="15AF3F2E">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单价</w:t>
            </w:r>
          </w:p>
        </w:tc>
        <w:tc>
          <w:tcPr>
            <w:tcW w:w="1418" w:type="dxa"/>
            <w:vAlign w:val="center"/>
          </w:tcPr>
          <w:p w14:paraId="21259800">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备注</w:t>
            </w:r>
          </w:p>
        </w:tc>
      </w:tr>
      <w:tr w14:paraId="166061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 w:hRule="atLeast"/>
          <w:jc w:val="center"/>
        </w:trPr>
        <w:tc>
          <w:tcPr>
            <w:tcW w:w="791" w:type="dxa"/>
            <w:vAlign w:val="center"/>
          </w:tcPr>
          <w:p w14:paraId="5E1C7E0E">
            <w:pPr>
              <w:jc w:val="cente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w:t>
            </w:r>
          </w:p>
        </w:tc>
        <w:tc>
          <w:tcPr>
            <w:tcW w:w="1437" w:type="dxa"/>
            <w:vAlign w:val="center"/>
          </w:tcPr>
          <w:p w14:paraId="50B5BCE7">
            <w:pPr>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废矿物油</w:t>
            </w:r>
          </w:p>
        </w:tc>
        <w:tc>
          <w:tcPr>
            <w:tcW w:w="1398" w:type="dxa"/>
            <w:vAlign w:val="center"/>
          </w:tcPr>
          <w:p w14:paraId="36CEE0BD">
            <w:pPr>
              <w:rPr>
                <w:rFonts w:hint="eastAsia" w:ascii="微软雅黑" w:hAnsi="微软雅黑" w:eastAsia="微软雅黑" w:cs="微软雅黑"/>
                <w:color w:val="auto"/>
                <w:sz w:val="24"/>
                <w:szCs w:val="24"/>
              </w:rPr>
            </w:pPr>
          </w:p>
        </w:tc>
        <w:tc>
          <w:tcPr>
            <w:tcW w:w="1418" w:type="dxa"/>
            <w:vAlign w:val="center"/>
          </w:tcPr>
          <w:p w14:paraId="53B0F5A8">
            <w:pPr>
              <w:rPr>
                <w:rFonts w:hint="eastAsia" w:ascii="微软雅黑" w:hAnsi="微软雅黑" w:eastAsia="微软雅黑" w:cs="微软雅黑"/>
                <w:color w:val="auto"/>
                <w:sz w:val="24"/>
                <w:szCs w:val="24"/>
              </w:rPr>
            </w:pPr>
          </w:p>
        </w:tc>
        <w:tc>
          <w:tcPr>
            <w:tcW w:w="1134" w:type="dxa"/>
            <w:vAlign w:val="center"/>
          </w:tcPr>
          <w:p w14:paraId="74E1C2D8">
            <w:pPr>
              <w:rPr>
                <w:rFonts w:hint="eastAsia" w:ascii="微软雅黑" w:hAnsi="微软雅黑" w:eastAsia="微软雅黑" w:cs="微软雅黑"/>
                <w:color w:val="auto"/>
                <w:sz w:val="24"/>
                <w:szCs w:val="24"/>
              </w:rPr>
            </w:pPr>
          </w:p>
        </w:tc>
        <w:tc>
          <w:tcPr>
            <w:tcW w:w="1418" w:type="dxa"/>
            <w:vAlign w:val="center"/>
          </w:tcPr>
          <w:p w14:paraId="48997138">
            <w:pPr>
              <w:rPr>
                <w:rFonts w:hint="eastAsia" w:ascii="微软雅黑" w:hAnsi="微软雅黑" w:eastAsia="微软雅黑" w:cs="微软雅黑"/>
                <w:color w:val="auto"/>
                <w:sz w:val="24"/>
                <w:szCs w:val="24"/>
              </w:rPr>
            </w:pPr>
          </w:p>
        </w:tc>
      </w:tr>
    </w:tbl>
    <w:p w14:paraId="50C8E4B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2.上述回收价为乙方按照国家规定完成废矿物油收集事务后，乙方应当向甲方支付的废矿物油回收价格。</w:t>
      </w:r>
    </w:p>
    <w:p w14:paraId="279088FE">
      <w:pPr>
        <w:spacing w:line="360" w:lineRule="auto"/>
        <w:ind w:firstLine="480" w:firstLineChars="200"/>
        <w:rPr>
          <w:rFonts w:hint="eastAsia" w:ascii="微软雅黑" w:hAnsi="微软雅黑" w:eastAsia="微软雅黑" w:cs="微软雅黑"/>
          <w:color w:val="auto"/>
          <w:sz w:val="24"/>
          <w:szCs w:val="24"/>
        </w:rPr>
      </w:pPr>
    </w:p>
    <w:p w14:paraId="7C596430">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第六条  计量和付款</w:t>
      </w:r>
    </w:p>
    <w:p w14:paraId="6B8A838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1.计量方式：甲方若具备计量条件可当场计量（危废重量含直接接触危险废物的包装重量），否则以乙方的计量为准，若发生争议，双方商议解决。</w:t>
      </w:r>
    </w:p>
    <w:p w14:paraId="508BB5A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2.结算方式：乙方须在回收废矿物油</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个工作日内，采用现金、转帐或汇款方式向甲方支付费用，逾期未支付的，乙方应向甲方支付每日万分之五的逾期违约金，直至全额实际支付之日。</w:t>
      </w:r>
    </w:p>
    <w:p w14:paraId="785B1993">
      <w:pPr>
        <w:spacing w:line="360" w:lineRule="auto"/>
        <w:ind w:firstLine="480" w:firstLineChars="200"/>
        <w:rPr>
          <w:rFonts w:hint="eastAsia" w:ascii="微软雅黑" w:hAnsi="微软雅黑" w:eastAsia="微软雅黑" w:cs="微软雅黑"/>
          <w:color w:val="auto"/>
          <w:sz w:val="24"/>
          <w:szCs w:val="24"/>
        </w:rPr>
      </w:pPr>
    </w:p>
    <w:p w14:paraId="0695468D">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第七条  违约责任</w:t>
      </w:r>
    </w:p>
    <w:p w14:paraId="336577F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（一）如任何一方违反本合同里任何条款，违约方应当负责赔偿因其违约行为而给守约方造成的实际经济损失。</w:t>
      </w:r>
    </w:p>
    <w:p w14:paraId="44D804EE">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（二）合同有效期内，出现下列情形时，乙方应向甲方支付</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元的违约金，同时甲方有权随时书面通知乙方解除本合同，合同</w:t>
      </w:r>
      <w:r>
        <w:rPr>
          <w:rFonts w:hint="eastAsia" w:ascii="微软雅黑" w:hAnsi="微软雅黑" w:eastAsia="微软雅黑" w:cs="微软雅黑"/>
          <w:color w:val="auto"/>
          <w:sz w:val="24"/>
          <w:szCs w:val="24"/>
          <w:lang w:val="en-US" w:eastAsia="zh-Hans"/>
        </w:rPr>
        <w:t>自甲方的书面通知到达乙方之日合同解除，乙方对合同解除有异议的，可以向</w:t>
      </w:r>
      <w:r>
        <w:rPr>
          <w:rFonts w:hint="eastAsia" w:ascii="微软雅黑" w:hAnsi="微软雅黑" w:eastAsia="微软雅黑" w:cs="微软雅黑"/>
          <w:color w:val="auto"/>
          <w:sz w:val="24"/>
          <w:szCs w:val="24"/>
          <w:lang w:val="en-US" w:eastAsia="zh-CN"/>
        </w:rPr>
        <w:t>蚌埠仲裁委</w:t>
      </w:r>
      <w:r>
        <w:rPr>
          <w:rFonts w:hint="eastAsia" w:ascii="微软雅黑" w:hAnsi="微软雅黑" w:eastAsia="微软雅黑" w:cs="微软雅黑"/>
          <w:color w:val="auto"/>
          <w:sz w:val="24"/>
          <w:szCs w:val="24"/>
          <w:lang w:val="en-US" w:eastAsia="zh-Hans"/>
        </w:rPr>
        <w:t>确认解除的效力。</w:t>
      </w:r>
    </w:p>
    <w:p w14:paraId="63274D07">
      <w:pPr>
        <w:numPr>
          <w:ilvl w:val="0"/>
          <w:numId w:val="1"/>
        </w:num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乙方累计3次未按约定上门进行清运；</w:t>
      </w:r>
    </w:p>
    <w:p w14:paraId="55023F59">
      <w:pPr>
        <w:numPr>
          <w:ilvl w:val="0"/>
          <w:numId w:val="1"/>
        </w:num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清运过程中发生安全事故；</w:t>
      </w:r>
    </w:p>
    <w:p w14:paraId="35BEA7E8">
      <w:pPr>
        <w:numPr>
          <w:ilvl w:val="0"/>
          <w:numId w:val="1"/>
        </w:num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乙方资质被吊销或其他原因导致乙方不再具备履行本合同的能力；</w:t>
      </w:r>
    </w:p>
    <w:p w14:paraId="6DCC9D6E">
      <w:pPr>
        <w:numPr>
          <w:ilvl w:val="0"/>
          <w:numId w:val="1"/>
        </w:num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乙方严重违反本合同其他约定的。</w:t>
      </w:r>
    </w:p>
    <w:p w14:paraId="1441A07A">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乙方违反本合同约定或法律规定，应当赔偿甲方产生的全部损失，甲方损失包含但不限于：直接损失、预期利益损失、行政罚款、甲方向第三人支付的违约金、赔偿金及甲方为索赔支出的诉讼费、律师费、交通费、保全费、保全担保费、鉴定费、公证费、评估费等全部费用。</w:t>
      </w:r>
    </w:p>
    <w:p w14:paraId="74A293BD">
      <w:pPr>
        <w:spacing w:line="360" w:lineRule="auto"/>
        <w:ind w:firstLine="480" w:firstLineChars="200"/>
        <w:rPr>
          <w:rFonts w:hint="eastAsia" w:ascii="微软雅黑" w:hAnsi="微软雅黑" w:eastAsia="微软雅黑" w:cs="微软雅黑"/>
          <w:color w:val="auto"/>
          <w:sz w:val="24"/>
          <w:szCs w:val="24"/>
        </w:rPr>
      </w:pPr>
    </w:p>
    <w:p w14:paraId="3A49FF2E">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第八条  免责条款</w:t>
      </w:r>
    </w:p>
    <w:p w14:paraId="2989A652">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kern w:val="0"/>
          <w:sz w:val="24"/>
          <w:szCs w:val="24"/>
          <w:lang w:val="en-US" w:eastAsia="zh-CN" w:bidi="ar"/>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56CFB6E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2．当出现双方在订立合同时无法预见的、不属于商业风险的重大变化，双方不能协商变更合同导致合同解除的，双方互不承担违约责任。</w:t>
      </w:r>
    </w:p>
    <w:p w14:paraId="0F3DED38">
      <w:pPr>
        <w:spacing w:line="360" w:lineRule="auto"/>
        <w:ind w:firstLine="480" w:firstLineChars="200"/>
        <w:rPr>
          <w:rFonts w:hint="eastAsia" w:ascii="微软雅黑" w:hAnsi="微软雅黑" w:eastAsia="微软雅黑" w:cs="微软雅黑"/>
          <w:bCs/>
          <w:color w:val="auto"/>
          <w:sz w:val="24"/>
          <w:szCs w:val="24"/>
        </w:rPr>
      </w:pPr>
      <w:r>
        <w:rPr>
          <w:rFonts w:hint="eastAsia" w:ascii="微软雅黑" w:hAnsi="微软雅黑" w:eastAsia="微软雅黑" w:cs="微软雅黑"/>
          <w:color w:val="auto"/>
          <w:kern w:val="0"/>
          <w:sz w:val="24"/>
          <w:szCs w:val="24"/>
          <w:lang w:val="en-US" w:eastAsia="zh-CN" w:bidi="ar"/>
        </w:rPr>
        <w:t>3．因治安管理案件或刑事犯罪案件，包括但不限于故意伤害、爆炸、偷盗、抢劫等导致人身伤害或财产损失的，由行为人承担责任</w:t>
      </w:r>
      <w:r>
        <w:rPr>
          <w:rFonts w:hint="eastAsia" w:ascii="微软雅黑" w:hAnsi="微软雅黑" w:eastAsia="微软雅黑" w:cs="微软雅黑"/>
          <w:bCs/>
          <w:color w:val="auto"/>
          <w:sz w:val="24"/>
          <w:szCs w:val="24"/>
        </w:rPr>
        <w:t>。</w:t>
      </w:r>
    </w:p>
    <w:p w14:paraId="00F3761B">
      <w:pPr>
        <w:spacing w:line="360" w:lineRule="auto"/>
        <w:ind w:firstLine="480" w:firstLineChars="200"/>
        <w:rPr>
          <w:rFonts w:hint="eastAsia" w:ascii="微软雅黑" w:hAnsi="微软雅黑" w:eastAsia="微软雅黑" w:cs="微软雅黑"/>
          <w:bCs/>
          <w:color w:val="auto"/>
          <w:sz w:val="24"/>
          <w:szCs w:val="24"/>
        </w:rPr>
      </w:pPr>
    </w:p>
    <w:p w14:paraId="23ECC9A2">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第九条 其他约定</w:t>
      </w:r>
    </w:p>
    <w:p w14:paraId="40728B4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1.在合同执行中如有未尽事宜，应由双方共同协商，签订补充协议，补充协议及合同的附件等均为本合同不可分割的组成部分，与本合同具有同等法律效力。</w:t>
      </w:r>
    </w:p>
    <w:p w14:paraId="33704C08">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2.凡因本合同引起的或与本合同有关的任何争议，均提交</w:t>
      </w:r>
      <w:r>
        <w:rPr>
          <w:rFonts w:hint="eastAsia" w:ascii="微软雅黑" w:hAnsi="微软雅黑" w:eastAsia="微软雅黑" w:cs="微软雅黑"/>
          <w:color w:val="auto"/>
          <w:sz w:val="24"/>
          <w:szCs w:val="24"/>
          <w:lang w:eastAsia="zh-CN"/>
        </w:rPr>
        <w:t>蚌埠</w:t>
      </w:r>
      <w:r>
        <w:rPr>
          <w:rFonts w:hint="eastAsia" w:ascii="微软雅黑" w:hAnsi="微软雅黑" w:eastAsia="微软雅黑" w:cs="微软雅黑"/>
          <w:color w:val="auto"/>
          <w:sz w:val="24"/>
          <w:szCs w:val="24"/>
        </w:rPr>
        <w:t>仲裁委员会，按照该会的仲裁规则进行仲裁。仲裁裁决是终局的，对双方均有约束力。</w:t>
      </w:r>
    </w:p>
    <w:p w14:paraId="51A65141">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3.本合同经双方签字盖章后生效。</w:t>
      </w:r>
    </w:p>
    <w:p w14:paraId="48BDDB3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4.本合同一式</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份，甲方</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份，乙方</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份。</w:t>
      </w:r>
    </w:p>
    <w:p w14:paraId="37F86E4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sz w:val="24"/>
          <w:szCs w:val="24"/>
        </w:rPr>
        <w:t>5.</w:t>
      </w:r>
      <w:r>
        <w:rPr>
          <w:rFonts w:hint="eastAsia" w:ascii="微软雅黑" w:hAnsi="微软雅黑" w:eastAsia="微软雅黑" w:cs="微软雅黑"/>
          <w:color w:val="auto"/>
          <w:kern w:val="0"/>
          <w:sz w:val="24"/>
          <w:szCs w:val="24"/>
          <w:lang w:val="en-US" w:eastAsia="zh-CN" w:bidi="ar"/>
        </w:rPr>
        <w:t>送达地址以及送达条款</w:t>
      </w:r>
    </w:p>
    <w:p w14:paraId="67C53CE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（1）送达地址以及方式</w:t>
      </w:r>
    </w:p>
    <w:p w14:paraId="5B88943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w:t>
      </w:r>
    </w:p>
    <w:p w14:paraId="0489038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甲方确认送达地址如下：</w:t>
      </w:r>
    </w:p>
    <w:p w14:paraId="23EF9C3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0DB17DF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6F7AE06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2F777FF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31A332D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甲方电子送达方式如下：</w:t>
      </w:r>
    </w:p>
    <w:p w14:paraId="1F42D0E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57080D2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93ECC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A339F0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            。</w:t>
      </w:r>
    </w:p>
    <w:p w14:paraId="1702D01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p>
    <w:p w14:paraId="5EC7243C">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乙方确认送达地址如下：</w:t>
      </w:r>
    </w:p>
    <w:p w14:paraId="68B550D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6D86734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7D2F6E41">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06ED52C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62D444FF">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乙方电子送达方式如下：</w:t>
      </w:r>
    </w:p>
    <w:p w14:paraId="0647E6B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1E6EC180">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72704EE7">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84E468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w:t>
      </w:r>
    </w:p>
    <w:p w14:paraId="0EB9A15E">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送达方式</w:t>
      </w:r>
    </w:p>
    <w:p w14:paraId="6D11999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双方同意，本合同项下的通知、函件、诉讼文书等文件，以下列方式送达对方：</w:t>
      </w:r>
    </w:p>
    <w:p w14:paraId="4F7342E8">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直接送达：将文件送至对方指定的送达地址，视为已送达；</w:t>
      </w:r>
    </w:p>
    <w:p w14:paraId="7E39A18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邮寄送达：将文件通过挂号信、特快专递等方式寄至对方指定的送达地址，以邮戳日期为准，视为已送达；</w:t>
      </w:r>
    </w:p>
    <w:p w14:paraId="3A199895">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电子送达：将文件通过电子邮件、短信、微信等方式发送至对方指定的电子邮箱、手机号码等，发送成功即视为已送达。</w:t>
      </w:r>
    </w:p>
    <w:p w14:paraId="18341D0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（2）送达条款</w:t>
      </w:r>
    </w:p>
    <w:p w14:paraId="47568CB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本送达条款适用于合同履行期间及合同纠纷解决过程中的所有文件送达。</w:t>
      </w:r>
    </w:p>
    <w:p w14:paraId="431A181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889873B">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双方在合同履行过程中由双方共同明示或默示确认的合同约定外的送达地址和联系方式不影响送达效力。</w:t>
      </w:r>
    </w:p>
    <w:p w14:paraId="0C992423">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双方认同电子送达效力，合同履行过程中或法院、仲裁委员会按照法律或适时有效的仲裁规则需要进行电子送达的，内容自进入双方接收系统之日起，视为送达成功。</w:t>
      </w:r>
    </w:p>
    <w:p w14:paraId="202311ED">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E1316EA">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485F466">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擅自变更送达地址及信息且未及时通知对方的；</w:t>
      </w:r>
    </w:p>
    <w:p w14:paraId="2C7CBD54">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送达地址与信息同工商登记信息不一致且未及时更改的；</w:t>
      </w:r>
    </w:p>
    <w:p w14:paraId="698477A2">
      <w:pPr>
        <w:spacing w:line="360" w:lineRule="auto"/>
        <w:ind w:firstLine="480" w:firstLineChars="200"/>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故意不接收蚌埠仲裁委员会送达文书的；</w:t>
      </w:r>
    </w:p>
    <w:p w14:paraId="7910D316">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kern w:val="0"/>
          <w:sz w:val="24"/>
          <w:szCs w:val="24"/>
          <w:lang w:val="en-US" w:eastAsia="zh-CN" w:bidi="ar"/>
        </w:rPr>
        <w:t>因接收方过错造成无法正常送达的其他行为。</w:t>
      </w:r>
    </w:p>
    <w:p w14:paraId="213EB9A4">
      <w:pPr>
        <w:spacing w:line="360" w:lineRule="auto"/>
        <w:ind w:firstLine="480" w:firstLineChars="200"/>
        <w:rPr>
          <w:rFonts w:hint="eastAsia" w:ascii="微软雅黑" w:hAnsi="微软雅黑" w:eastAsia="微软雅黑" w:cs="微软雅黑"/>
          <w:color w:val="auto"/>
          <w:sz w:val="24"/>
          <w:szCs w:val="24"/>
        </w:rPr>
      </w:pPr>
    </w:p>
    <w:p w14:paraId="600AAA0C">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第十条  特别约定</w:t>
      </w:r>
    </w:p>
    <w:p w14:paraId="7B146A5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1、</w:t>
      </w:r>
    </w:p>
    <w:p w14:paraId="3076B686">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w:t>
      </w:r>
    </w:p>
    <w:p w14:paraId="31C5F384">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w:t>
      </w:r>
    </w:p>
    <w:p w14:paraId="657F24CC">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（以下无正文）</w:t>
      </w:r>
    </w:p>
    <w:p w14:paraId="3E88EEC2">
      <w:pPr>
        <w:spacing w:line="360" w:lineRule="auto"/>
        <w:ind w:firstLine="480" w:firstLineChars="200"/>
        <w:rPr>
          <w:rFonts w:hint="eastAsia" w:ascii="微软雅黑" w:hAnsi="微软雅黑" w:eastAsia="微软雅黑" w:cs="微软雅黑"/>
          <w:color w:val="auto"/>
          <w:sz w:val="24"/>
          <w:szCs w:val="24"/>
        </w:rPr>
      </w:pPr>
    </w:p>
    <w:p w14:paraId="2469FBAB">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甲方（盖章）：</w:t>
      </w:r>
    </w:p>
    <w:p w14:paraId="2446DB2A">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法定代表人（签字）：</w:t>
      </w:r>
    </w:p>
    <w:p w14:paraId="10C0E99F">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委托代理人（签字）：</w:t>
      </w:r>
    </w:p>
    <w:p w14:paraId="572BA0FE">
      <w:pPr>
        <w:spacing w:line="360" w:lineRule="auto"/>
        <w:ind w:firstLine="480" w:firstLineChars="200"/>
        <w:rPr>
          <w:rFonts w:hint="eastAsia" w:ascii="微软雅黑" w:hAnsi="微软雅黑" w:eastAsia="微软雅黑" w:cs="微软雅黑"/>
          <w:color w:val="auto"/>
          <w:sz w:val="24"/>
          <w:szCs w:val="24"/>
        </w:rPr>
      </w:pPr>
    </w:p>
    <w:p w14:paraId="39E1219C">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乙方（盖章）：</w:t>
      </w:r>
    </w:p>
    <w:p w14:paraId="2EBA5693">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法定代表人（签字）： </w:t>
      </w:r>
    </w:p>
    <w:p w14:paraId="78EE0582">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委托代理人（签字）：  </w:t>
      </w:r>
    </w:p>
    <w:p w14:paraId="748AE075">
      <w:pPr>
        <w:spacing w:line="360" w:lineRule="auto"/>
        <w:ind w:firstLine="480" w:firstLineChars="200"/>
        <w:rPr>
          <w:rFonts w:hint="eastAsia" w:ascii="微软雅黑" w:hAnsi="微软雅黑" w:eastAsia="微软雅黑" w:cs="微软雅黑"/>
          <w:color w:val="auto"/>
          <w:sz w:val="24"/>
          <w:szCs w:val="24"/>
        </w:rPr>
      </w:pPr>
    </w:p>
    <w:p w14:paraId="73C4487E">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合同签订日期：</w:t>
      </w:r>
    </w:p>
    <w:p w14:paraId="5D85835B">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合同签订地点：</w:t>
      </w:r>
    </w:p>
    <w:p w14:paraId="6D1F25AD">
      <w:pPr>
        <w:rPr>
          <w:rFonts w:hint="eastAsia" w:ascii="微软雅黑" w:hAnsi="微软雅黑" w:eastAsia="微软雅黑" w:cs="微软雅黑"/>
          <w:color w:val="auto"/>
          <w:sz w:val="24"/>
          <w:szCs w:val="24"/>
        </w:rPr>
      </w:pPr>
    </w:p>
    <w:p w14:paraId="4406CCE3">
      <w:pPr>
        <w:rPr>
          <w:rFonts w:hint="eastAsia" w:ascii="微软雅黑" w:hAnsi="微软雅黑" w:eastAsia="微软雅黑" w:cs="微软雅黑"/>
          <w:color w:val="auto"/>
          <w:sz w:val="24"/>
          <w:szCs w:val="24"/>
        </w:rPr>
      </w:pPr>
    </w:p>
    <w:bookmarkEnd w:id="0"/>
    <w:p w14:paraId="3875E11C">
      <w:pPr>
        <w:rPr>
          <w:color w:val="auto"/>
        </w:rPr>
      </w:pPr>
    </w:p>
    <w:sectPr>
      <w:footerReference r:id="rId3" w:type="default"/>
      <w:pgSz w:w="11906" w:h="16838"/>
      <w:pgMar w:top="1134" w:right="1701" w:bottom="1134" w:left="1701" w:header="284"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135782"/>
    </w:sdtPr>
    <w:sdtContent>
      <w:sdt>
        <w:sdtPr>
          <w:id w:val="171357217"/>
        </w:sdtPr>
        <w:sdtContent>
          <w:p w14:paraId="6BA00494">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14:paraId="68C982DE">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EF764E"/>
    <w:multiLevelType w:val="singleLevel"/>
    <w:tmpl w:val="53EF764E"/>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23D04"/>
    <w:rsid w:val="07AE38FE"/>
    <w:rsid w:val="3DEE7BA4"/>
    <w:rsid w:val="51077513"/>
    <w:rsid w:val="5B923D04"/>
    <w:rsid w:val="72500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3671</Words>
  <Characters>3708</Characters>
  <Lines>0</Lines>
  <Paragraphs>0</Paragraphs>
  <TotalTime>1</TotalTime>
  <ScaleCrop>false</ScaleCrop>
  <LinksUpToDate>false</LinksUpToDate>
  <CharactersWithSpaces>3988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2021-06-01T03:55:00Z</dcterms:created>
  <dc:creator>真宇律师</dc:creator>
  <cp:lastModifiedBy>豪</cp:lastModifiedBy>
  <dcterms:modified xsi:type="dcterms:W3CDTF">2026-03-22T07:43:51Z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4A06BB919BC94E10B2FDEF2B6BA8685B</vt:lpwstr>
  </property>
  <property fmtid="{D5CDD505-2E9C-101B-9397-08002B2CF9AE}" pid="4" name="KSOTemplateDocerSaveRecord">
    <vt:lpwstr>eyJoZGlkIjoiNTg0MzMyNGJiMDEzODc5ODNlMGVjODViOWRkZjg1MDgiLCJ1c2VySWQiOiIxMjc2Mzc3NjgxIn0=</vt:lpwstr>
  </property>
</Properties>
</file>