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D4040">
      <w:pPr>
        <w:jc w:val="center"/>
        <w:rPr>
          <w:rFonts w:hint="eastAsia" w:ascii="微软雅黑" w:hAnsi="微软雅黑" w:eastAsia="微软雅黑" w:cs="微软雅黑"/>
          <w:sz w:val="24"/>
          <w:szCs w:val="24"/>
          <w:lang w:val="en-US" w:eastAsia="zh-CN"/>
        </w:rPr>
      </w:pPr>
      <w:bookmarkStart w:id="10" w:name="_GoBack"/>
    </w:p>
    <w:p w14:paraId="75AD8E16">
      <w:pPr>
        <w:pStyle w:val="5"/>
        <w:keepNext w:val="0"/>
        <w:keepLines w:val="0"/>
        <w:pageBreakBefore w:val="0"/>
        <w:widowControl/>
        <w:kinsoku/>
        <w:overflowPunct/>
        <w:topLinePunct w:val="0"/>
        <w:bidi w:val="0"/>
        <w:adjustRightInd/>
        <w:snapToGrid/>
        <w:spacing w:before="0" w:after="0" w:afterAutospacing="0" w:line="360" w:lineRule="auto"/>
        <w:ind w:firstLine="0" w:firstLineChars="0"/>
        <w:jc w:val="center"/>
        <w:textAlignment w:val="auto"/>
        <w:rPr>
          <w:rFonts w:hint="eastAsia" w:ascii="微软雅黑" w:hAnsi="微软雅黑" w:eastAsia="微软雅黑" w:cs="微软雅黑"/>
          <w:b/>
          <w:bCs/>
          <w:spacing w:val="57"/>
          <w:sz w:val="24"/>
          <w:szCs w:val="24"/>
          <w:lang w:val="en-US"/>
        </w:rPr>
      </w:pPr>
      <w:r>
        <w:rPr>
          <w:rFonts w:hint="eastAsia" w:ascii="微软雅黑" w:hAnsi="微软雅黑" w:eastAsia="微软雅黑" w:cs="微软雅黑"/>
          <w:b/>
          <w:bCs/>
          <w:spacing w:val="57"/>
          <w:sz w:val="24"/>
          <w:szCs w:val="24"/>
          <w:lang w:eastAsia="zh-CN"/>
        </w:rPr>
        <w:t>药品代理经销合同</w:t>
      </w:r>
    </w:p>
    <w:p w14:paraId="50B0FF51">
      <w:pPr>
        <w:pStyle w:val="4"/>
        <w:keepNext w:val="0"/>
        <w:keepLines w:val="0"/>
        <w:pageBreakBefore w:val="0"/>
        <w:kinsoku/>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p>
    <w:p w14:paraId="221D486C">
      <w:pPr>
        <w:keepNext w:val="0"/>
        <w:keepLines w:val="0"/>
        <w:pageBreakBefore w:val="0"/>
        <w:kinsoku/>
        <w:overflowPunct/>
        <w:topLinePunct w:val="0"/>
        <w:autoSpaceDE/>
        <w:autoSpaceDN/>
        <w:bidi w:val="0"/>
        <w:adjustRightInd/>
        <w:snapToGrid/>
        <w:spacing w:afterAutospacing="0" w:line="360" w:lineRule="auto"/>
        <w:ind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7E00E8C8">
      <w:pPr>
        <w:pStyle w:val="4"/>
        <w:keepNext w:val="0"/>
        <w:keepLines w:val="0"/>
        <w:pageBreakBefore w:val="0"/>
        <w:kinsoku/>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2287FFE1">
      <w:pPr>
        <w:pStyle w:val="4"/>
        <w:keepNext w:val="0"/>
        <w:keepLines w:val="0"/>
        <w:pageBreakBefore w:val="0"/>
        <w:kinsoku/>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p>
    <w:p w14:paraId="0375E786">
      <w:pPr>
        <w:pStyle w:val="4"/>
        <w:keepNext w:val="0"/>
        <w:keepLines w:val="0"/>
        <w:pageBreakBefore w:val="0"/>
        <w:kinsoku/>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237CB95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p>
    <w:p w14:paraId="2EC2348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为了拓展市场，共同发展，根据《中华人民共和国民法典》有关法律，本着平等互利的原则，经双方友好协商，甲方授权乙方作为</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省</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市</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（地）</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产品的独家经销商。</w:t>
      </w:r>
    </w:p>
    <w:p w14:paraId="0256E387">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sz w:val="24"/>
          <w:szCs w:val="24"/>
          <w:lang w:val="en-US"/>
        </w:rPr>
      </w:pPr>
      <w:bookmarkStart w:id="0" w:name="1"/>
      <w:r>
        <w:rPr>
          <w:rFonts w:hint="eastAsia" w:ascii="微软雅黑" w:hAnsi="微软雅黑" w:eastAsia="微软雅黑" w:cs="微软雅黑"/>
          <w:b/>
          <w:bCs w:val="0"/>
          <w:color w:val="000000"/>
          <w:kern w:val="2"/>
          <w:sz w:val="24"/>
          <w:szCs w:val="24"/>
          <w:lang w:val="en-US" w:eastAsia="zh-CN" w:bidi="ar"/>
        </w:rPr>
        <w:t>一、</w:t>
      </w:r>
      <w:bookmarkEnd w:id="0"/>
      <w:r>
        <w:rPr>
          <w:rFonts w:hint="eastAsia" w:ascii="微软雅黑" w:hAnsi="微软雅黑" w:eastAsia="微软雅黑" w:cs="微软雅黑"/>
          <w:b/>
          <w:bCs w:val="0"/>
          <w:color w:val="000000"/>
          <w:kern w:val="2"/>
          <w:sz w:val="24"/>
          <w:szCs w:val="24"/>
          <w:lang w:val="en-US" w:eastAsia="zh-CN" w:bidi="ar"/>
        </w:rPr>
        <w:t>经销药品</w:t>
      </w:r>
    </w:p>
    <w:p w14:paraId="3360C9C6">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品种：</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w:t>
      </w:r>
    </w:p>
    <w:p w14:paraId="1AB6C10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u w:val="single"/>
          <w:lang w:val="en-US"/>
        </w:rPr>
      </w:pPr>
      <w:r>
        <w:rPr>
          <w:rFonts w:hint="eastAsia" w:ascii="微软雅黑" w:hAnsi="微软雅黑" w:eastAsia="微软雅黑" w:cs="微软雅黑"/>
          <w:color w:val="000000"/>
          <w:kern w:val="2"/>
          <w:sz w:val="24"/>
          <w:szCs w:val="24"/>
          <w:lang w:val="en-US" w:eastAsia="zh-CN" w:bidi="ar"/>
        </w:rPr>
        <w:t>规格：</w:t>
      </w:r>
      <w:r>
        <w:rPr>
          <w:rFonts w:hint="eastAsia" w:ascii="微软雅黑" w:hAnsi="微软雅黑" w:eastAsia="微软雅黑" w:cs="微软雅黑"/>
          <w:color w:val="000000"/>
          <w:kern w:val="2"/>
          <w:sz w:val="24"/>
          <w:szCs w:val="24"/>
          <w:u w:val="single"/>
          <w:lang w:val="en-US" w:eastAsia="zh-CN" w:bidi="ar"/>
        </w:rPr>
        <w:t xml:space="preserve">     </w:t>
      </w:r>
      <w:r>
        <w:rPr>
          <w:rFonts w:hint="eastAsia" w:ascii="微软雅黑" w:hAnsi="微软雅黑" w:eastAsia="微软雅黑" w:cs="微软雅黑"/>
          <w:color w:val="000000"/>
          <w:kern w:val="2"/>
          <w:sz w:val="24"/>
          <w:szCs w:val="24"/>
          <w:lang w:val="en-US" w:eastAsia="zh-CN" w:bidi="ar"/>
        </w:rPr>
        <w:t>；</w:t>
      </w:r>
    </w:p>
    <w:p w14:paraId="4A17B0A2">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u w:val="single"/>
          <w:lang w:val="en-US"/>
        </w:rPr>
      </w:pPr>
      <w:r>
        <w:rPr>
          <w:rFonts w:hint="eastAsia" w:ascii="微软雅黑" w:hAnsi="微软雅黑" w:eastAsia="微软雅黑" w:cs="微软雅黑"/>
          <w:color w:val="000000"/>
          <w:kern w:val="2"/>
          <w:sz w:val="24"/>
          <w:szCs w:val="24"/>
          <w:lang w:val="en-US" w:eastAsia="zh-CN" w:bidi="ar"/>
        </w:rPr>
        <w:t>包装：</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w:t>
      </w:r>
    </w:p>
    <w:p w14:paraId="2DB426C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批准文号：</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w:t>
      </w:r>
    </w:p>
    <w:p w14:paraId="219AB5D2">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零售价：</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元/盒；</w:t>
      </w:r>
    </w:p>
    <w:p w14:paraId="3458D87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批发价：</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元/盒；</w:t>
      </w:r>
    </w:p>
    <w:p w14:paraId="303EFA4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开票价：</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元/盒（现款现货）。</w:t>
      </w:r>
    </w:p>
    <w:p w14:paraId="4F429DE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kern w:val="2"/>
          <w:sz w:val="24"/>
          <w:szCs w:val="24"/>
          <w:lang w:val="en-US" w:eastAsia="zh-CN" w:bidi="ar"/>
        </w:rPr>
      </w:pPr>
      <w:bookmarkStart w:id="1" w:name="2"/>
    </w:p>
    <w:p w14:paraId="0DF40C9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二、</w:t>
      </w:r>
      <w:bookmarkEnd w:id="1"/>
      <w:r>
        <w:rPr>
          <w:rFonts w:hint="eastAsia" w:ascii="微软雅黑" w:hAnsi="微软雅黑" w:eastAsia="微软雅黑" w:cs="微软雅黑"/>
          <w:b/>
          <w:bCs w:val="0"/>
          <w:color w:val="000000"/>
          <w:kern w:val="2"/>
          <w:sz w:val="24"/>
          <w:szCs w:val="24"/>
          <w:lang w:val="en-US" w:eastAsia="zh-CN" w:bidi="ar"/>
        </w:rPr>
        <w:t>代理定额</w:t>
      </w:r>
    </w:p>
    <w:p w14:paraId="0F15D95D">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乙方</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年</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月</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日至</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年</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月</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日内购销甲方产品总额为</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万元，其中购销进度大致安排如下：</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30"/>
        <w:gridCol w:w="2130"/>
        <w:gridCol w:w="2131"/>
        <w:gridCol w:w="2131"/>
      </w:tblGrid>
      <w:tr w14:paraId="3C54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7DE627A6">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center"/>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第一季度</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1052D032">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center"/>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第二季度</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1BA97661">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center"/>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第三季度</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254BF453">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center"/>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第四季度</w:t>
            </w:r>
          </w:p>
        </w:tc>
      </w:tr>
      <w:tr w14:paraId="559E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shd w:val="clear" w:color="auto" w:fill="auto"/>
            <w:vAlign w:val="top"/>
          </w:tcPr>
          <w:p w14:paraId="69BD99E5">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数量：</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top"/>
          </w:tcPr>
          <w:p w14:paraId="1AB42CA9">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数量：</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top"/>
          </w:tcPr>
          <w:p w14:paraId="251DE9BC">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数量：</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top"/>
          </w:tcPr>
          <w:p w14:paraId="35074E96">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数量：</w:t>
            </w:r>
          </w:p>
        </w:tc>
      </w:tr>
      <w:tr w14:paraId="57F1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shd w:val="clear" w:color="auto" w:fill="auto"/>
            <w:vAlign w:val="top"/>
          </w:tcPr>
          <w:p w14:paraId="11DD7AE3">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金额：</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top"/>
          </w:tcPr>
          <w:p w14:paraId="402B6517">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金额：</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top"/>
          </w:tcPr>
          <w:p w14:paraId="515F50E0">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金额：</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top"/>
          </w:tcPr>
          <w:p w14:paraId="3E5EF7F5">
            <w:pPr>
              <w:keepNext w:val="0"/>
              <w:keepLines w:val="0"/>
              <w:pageBreakBefore w:val="0"/>
              <w:widowControl w:val="0"/>
              <w:suppressLineNumbers w:val="0"/>
              <w:kinsoku/>
              <w:wordWrap w:val="0"/>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金额：</w:t>
            </w:r>
          </w:p>
        </w:tc>
      </w:tr>
    </w:tbl>
    <w:p w14:paraId="41283CF9">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乙方首批量根据城市大小而定，最低量</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件以上，期限为</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个月，</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个月后确实做过努力推广，没有打开市场的，甲方有权收回市场，产品在包装没有破损的前提下，甲方保证退货，零风险经营。</w:t>
      </w:r>
    </w:p>
    <w:p w14:paraId="69058A51">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kern w:val="2"/>
          <w:sz w:val="24"/>
          <w:szCs w:val="24"/>
          <w:lang w:val="en-US" w:eastAsia="zh-CN" w:bidi="ar"/>
        </w:rPr>
      </w:pPr>
      <w:bookmarkStart w:id="2" w:name="3"/>
    </w:p>
    <w:p w14:paraId="4E202ED5">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三、</w:t>
      </w:r>
      <w:bookmarkEnd w:id="2"/>
      <w:r>
        <w:rPr>
          <w:rFonts w:hint="eastAsia" w:ascii="微软雅黑" w:hAnsi="微软雅黑" w:eastAsia="微软雅黑" w:cs="微软雅黑"/>
          <w:b/>
          <w:bCs w:val="0"/>
          <w:color w:val="000000"/>
          <w:kern w:val="2"/>
          <w:sz w:val="24"/>
          <w:szCs w:val="24"/>
          <w:lang w:val="en-US" w:eastAsia="zh-CN" w:bidi="ar"/>
        </w:rPr>
        <w:t>供货及结算方式</w:t>
      </w:r>
    </w:p>
    <w:p w14:paraId="2975F012">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1、乙方首次进货为</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件（每件</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盒）。在合同签订后乙方将首批货款付给甲方。甲方收款</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日内保证及时发货（运输方式：</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）。以后乙方应于每月</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日前将下月要货计划报给甲方，以便甲方安排供货，保证市场供应。</w:t>
      </w:r>
    </w:p>
    <w:p w14:paraId="591793F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2、甲方按代理底价出具增值税发票及其他必要单据，若乙方另有需要，高于代理底价开票的高出部分的税金由乙方承担。</w:t>
      </w:r>
    </w:p>
    <w:p w14:paraId="54B9CE1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3、甲方负责按乙方合同指定的到站承担一次性运费及保险费，到站后的短途转运费用和因乙方造成的退货费用由乙方负责。</w:t>
      </w:r>
    </w:p>
    <w:p w14:paraId="0E9C30A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4、甲方保证将产品保质、保量、按期交付乙方，如发生破损，乙方应在收货后及时向甲方提出异议，由甲乙双方商议解决。</w:t>
      </w:r>
    </w:p>
    <w:p w14:paraId="3D9615D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kern w:val="2"/>
          <w:sz w:val="24"/>
          <w:szCs w:val="24"/>
          <w:lang w:val="en-US" w:eastAsia="zh-CN" w:bidi="ar"/>
        </w:rPr>
      </w:pPr>
      <w:bookmarkStart w:id="3" w:name="4"/>
    </w:p>
    <w:p w14:paraId="6DED5CD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四、</w:t>
      </w:r>
      <w:bookmarkEnd w:id="3"/>
      <w:r>
        <w:rPr>
          <w:rFonts w:hint="eastAsia" w:ascii="微软雅黑" w:hAnsi="微软雅黑" w:eastAsia="微软雅黑" w:cs="微软雅黑"/>
          <w:b/>
          <w:bCs w:val="0"/>
          <w:color w:val="000000"/>
          <w:kern w:val="2"/>
          <w:sz w:val="24"/>
          <w:szCs w:val="24"/>
          <w:lang w:val="en-US" w:eastAsia="zh-CN" w:bidi="ar"/>
        </w:rPr>
        <w:t>优惠政策和支持办法</w:t>
      </w:r>
    </w:p>
    <w:p w14:paraId="543BB5D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1、为鼓励和支持经销商扩大产品销售，甲方按照不同经销商的购销总额给予经销商相应优惠和支持，具体为：</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w:t>
      </w:r>
    </w:p>
    <w:p w14:paraId="0071429A">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2、年终返点（每年</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月结算）具体返利和支付方式由双方另行协商，次年销售回款总量按</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%递增，如达不到，甲方有权取消乙方独家经销资格。</w:t>
      </w:r>
    </w:p>
    <w:p w14:paraId="449B122A">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kern w:val="2"/>
          <w:sz w:val="24"/>
          <w:szCs w:val="24"/>
          <w:lang w:val="en-US" w:eastAsia="zh-CN" w:bidi="ar"/>
        </w:rPr>
      </w:pPr>
      <w:bookmarkStart w:id="4" w:name="5"/>
    </w:p>
    <w:p w14:paraId="3D06E22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五、</w:t>
      </w:r>
      <w:bookmarkEnd w:id="4"/>
      <w:r>
        <w:rPr>
          <w:rFonts w:hint="eastAsia" w:ascii="微软雅黑" w:hAnsi="微软雅黑" w:eastAsia="微软雅黑" w:cs="微软雅黑"/>
          <w:b/>
          <w:bCs w:val="0"/>
          <w:color w:val="000000"/>
          <w:kern w:val="2"/>
          <w:sz w:val="24"/>
          <w:szCs w:val="24"/>
          <w:lang w:val="en-US" w:eastAsia="zh-CN" w:bidi="ar"/>
        </w:rPr>
        <w:t>代理保证金及管理</w:t>
      </w:r>
    </w:p>
    <w:p w14:paraId="572DDEA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1、经甲乙双方共同约定认可，乙方须在合同签订之日起</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日内向甲方交纳</w:t>
      </w:r>
      <w:r>
        <w:rPr>
          <w:rFonts w:hint="eastAsia" w:ascii="微软雅黑" w:hAnsi="微软雅黑" w:eastAsia="微软雅黑" w:cs="微软雅黑"/>
          <w:color w:val="000000"/>
          <w:kern w:val="2"/>
          <w:sz w:val="24"/>
          <w:szCs w:val="24"/>
          <w:u w:val="single"/>
          <w:lang w:val="en-US" w:eastAsia="zh-CN" w:bidi="ar"/>
        </w:rPr>
        <w:t>  </w:t>
      </w:r>
      <w:r>
        <w:rPr>
          <w:rFonts w:hint="eastAsia" w:ascii="微软雅黑" w:hAnsi="微软雅黑" w:eastAsia="微软雅黑" w:cs="微软雅黑"/>
          <w:color w:val="000000"/>
          <w:kern w:val="2"/>
          <w:sz w:val="24"/>
          <w:szCs w:val="24"/>
          <w:lang w:val="en-US" w:eastAsia="zh-CN" w:bidi="ar"/>
        </w:rPr>
        <w:t>万元的代理保证金，逾期本合同自动失效。</w:t>
      </w:r>
    </w:p>
    <w:p w14:paraId="6C5EF369">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2、代理保证金主要用于协议区域代理权的确认和市场规范运作的保障。</w:t>
      </w:r>
    </w:p>
    <w:p w14:paraId="1C10D3EC">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3、如乙方有窜货行为，甲方有权扣除乙方“代理保证金”，并取消其代理资格。</w:t>
      </w:r>
    </w:p>
    <w:p w14:paraId="6FE00AC4">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4、本合同终止时，乙方完成代理合同且无违规行为，甲方全额退还乙方的“代理保证金”，不计利息。</w:t>
      </w:r>
    </w:p>
    <w:p w14:paraId="618560C0">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5、乙方在代理期间，如发现有向所代理产品区域以外的区域窜货（以箱号为准），甲方有权做相应的处罚或没收乙方全部保证金，情节严重者取消其独家代理资格，并可按进货价格的</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折给乙方退货。</w:t>
      </w:r>
    </w:p>
    <w:p w14:paraId="02579631">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kern w:val="2"/>
          <w:sz w:val="24"/>
          <w:szCs w:val="24"/>
          <w:lang w:val="en-US" w:eastAsia="zh-CN" w:bidi="ar"/>
        </w:rPr>
      </w:pPr>
      <w:bookmarkStart w:id="5" w:name="6"/>
    </w:p>
    <w:p w14:paraId="41F574D7">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六、</w:t>
      </w:r>
      <w:bookmarkEnd w:id="5"/>
      <w:r>
        <w:rPr>
          <w:rFonts w:hint="eastAsia" w:ascii="微软雅黑" w:hAnsi="微软雅黑" w:eastAsia="微软雅黑" w:cs="微软雅黑"/>
          <w:b/>
          <w:bCs w:val="0"/>
          <w:color w:val="000000"/>
          <w:kern w:val="2"/>
          <w:sz w:val="24"/>
          <w:szCs w:val="24"/>
          <w:lang w:val="en-US" w:eastAsia="zh-CN" w:bidi="ar"/>
        </w:rPr>
        <w:t>双方义务和责任</w:t>
      </w:r>
    </w:p>
    <w:p w14:paraId="30FA8BE6">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1、甲方须向乙方提供合格产品和相应的质检报告。</w:t>
      </w:r>
    </w:p>
    <w:p w14:paraId="6919C95A">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2、甲方应向乙方通报当地经销商的分布情况，不得向乙方以外单位提供等同或高于乙方的让利和支持，不得向乙方经销地区以内单位或个人直接供应产品，若直供则销售额划归协议乙方的经销业绩。</w:t>
      </w:r>
    </w:p>
    <w:p w14:paraId="78E290B2">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3、乙方根据市场实情，在全国统一零售价的原则下，积极维护甲方价格体系政策，不得乱价而影响全盘市场；</w:t>
      </w:r>
    </w:p>
    <w:p w14:paraId="4DAF4374">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4、合同期满后，乙方在完成合同指标的情况下，在续约时有优先权；</w:t>
      </w:r>
    </w:p>
    <w:p w14:paraId="4C9FFDF7">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5、乙方不得以低于甲方开票价格进行批发或零售，一旦违背，甲方有权取消其相应资格及其优惠承诺，并有权进一步追究责任。</w:t>
      </w:r>
    </w:p>
    <w:p w14:paraId="02DB184F">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6、乙方须定期按甲方要求提供有关产品的市场情况的信息反馈资料，并及时回笼货款。否则，甲方将延迟放行下批产品。乙方需要向甲方提供销售终端明细表（为防止经销商窜货，所以经销商每月应向甲方提供产品去向表，否则甲方有权不予返点）。</w:t>
      </w:r>
    </w:p>
    <w:p w14:paraId="1DBFDBB7">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kern w:val="2"/>
          <w:sz w:val="24"/>
          <w:szCs w:val="24"/>
          <w:lang w:val="en-US" w:eastAsia="zh-CN" w:bidi="ar"/>
        </w:rPr>
      </w:pPr>
      <w:bookmarkStart w:id="6" w:name="7"/>
    </w:p>
    <w:p w14:paraId="7AFDE66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七、</w:t>
      </w:r>
      <w:bookmarkEnd w:id="6"/>
      <w:r>
        <w:rPr>
          <w:rFonts w:hint="eastAsia" w:ascii="微软雅黑" w:hAnsi="微软雅黑" w:eastAsia="微软雅黑" w:cs="微软雅黑"/>
          <w:b/>
          <w:bCs w:val="0"/>
          <w:color w:val="000000"/>
          <w:kern w:val="2"/>
          <w:sz w:val="24"/>
          <w:szCs w:val="24"/>
          <w:lang w:val="en-US" w:eastAsia="zh-CN" w:bidi="ar"/>
        </w:rPr>
        <w:t>违约责任</w:t>
      </w:r>
    </w:p>
    <w:p w14:paraId="7EE4975C">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违约方应承担另一方因违约造成的全部直接和间接损失。</w:t>
      </w:r>
    </w:p>
    <w:p w14:paraId="10DD6C1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kern w:val="2"/>
          <w:sz w:val="24"/>
          <w:szCs w:val="24"/>
          <w:lang w:val="en-US" w:eastAsia="zh-CN" w:bidi="ar"/>
        </w:rPr>
      </w:pPr>
      <w:bookmarkStart w:id="7" w:name="8"/>
    </w:p>
    <w:p w14:paraId="0D5AD615">
      <w:pPr>
        <w:keepNext w:val="0"/>
        <w:keepLines w:val="0"/>
        <w:pageBreakBefore w:val="0"/>
        <w:tabs>
          <w:tab w:val="left" w:pos="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kern w:val="2"/>
          <w:sz w:val="24"/>
          <w:szCs w:val="24"/>
          <w:lang w:val="en-US" w:eastAsia="zh-CN" w:bidi="ar"/>
        </w:rPr>
        <w:t>八、</w:t>
      </w:r>
      <w:bookmarkEnd w:id="7"/>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292C9E8C">
      <w:pPr>
        <w:keepNext w:val="0"/>
        <w:keepLines w:val="0"/>
        <w:pageBreakBefore w:val="0"/>
        <w:widowControl w:val="0"/>
        <w:suppressLineNumbers w:val="0"/>
        <w:kinsoku/>
        <w:overflowPunct/>
        <w:topLinePunct w:val="0"/>
        <w:autoSpaceDE w:val="0"/>
        <w:autoSpaceDN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7246D641">
      <w:pPr>
        <w:keepNext w:val="0"/>
        <w:keepLines w:val="0"/>
        <w:pageBreakBefore w:val="0"/>
        <w:widowControl w:val="0"/>
        <w:suppressLineNumbers w:val="0"/>
        <w:kinsoku/>
        <w:overflowPunct/>
        <w:topLinePunct w:val="0"/>
        <w:autoSpaceDE w:val="0"/>
        <w:autoSpaceDN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480E1197">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0DBD65FC">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kern w:val="2"/>
          <w:sz w:val="24"/>
          <w:szCs w:val="24"/>
          <w:lang w:val="en-US" w:eastAsia="zh-CN" w:bidi="ar"/>
        </w:rPr>
      </w:pPr>
      <w:bookmarkStart w:id="8" w:name="9"/>
    </w:p>
    <w:p w14:paraId="647E69F7">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九、</w:t>
      </w:r>
      <w:bookmarkEnd w:id="8"/>
      <w:r>
        <w:rPr>
          <w:rFonts w:hint="eastAsia" w:ascii="微软雅黑" w:hAnsi="微软雅黑" w:eastAsia="微软雅黑" w:cs="微软雅黑"/>
          <w:b/>
          <w:bCs w:val="0"/>
          <w:color w:val="000000"/>
          <w:kern w:val="2"/>
          <w:sz w:val="24"/>
          <w:szCs w:val="24"/>
          <w:lang w:val="en-US" w:eastAsia="zh-CN" w:bidi="ar"/>
        </w:rPr>
        <w:t>保密条款</w:t>
      </w:r>
    </w:p>
    <w:p w14:paraId="640AA084">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r>
        <w:rPr>
          <w:rFonts w:hint="eastAsia" w:ascii="微软雅黑" w:hAnsi="微软雅黑" w:eastAsia="微软雅黑" w:cs="微软雅黑"/>
          <w:color w:val="000000"/>
          <w:kern w:val="2"/>
          <w:sz w:val="24"/>
          <w:szCs w:val="24"/>
          <w:lang w:val="en-US" w:eastAsia="zh-CN" w:bidi="ar"/>
        </w:rPr>
        <w:t>本合同属双方商业机密，任何一方不得随意向第三方泄露本合同内容；乙方代理期间，未经甲方允许不得私自在任何大众媒体上做广告宣传，由此造成的一切后果，乙方负全部责任。情节严重者，甲方将依法追究其经济责任及法律责任。</w:t>
      </w:r>
    </w:p>
    <w:p w14:paraId="16FAB87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p>
    <w:p w14:paraId="27DA2849">
      <w:pPr>
        <w:keepNext w:val="0"/>
        <w:keepLines w:val="0"/>
        <w:pageBreakBefore w:val="0"/>
        <w:tabs>
          <w:tab w:val="left" w:pos="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十、</w:t>
      </w:r>
      <w:r>
        <w:rPr>
          <w:rFonts w:hint="eastAsia" w:ascii="微软雅黑" w:hAnsi="微软雅黑" w:eastAsia="微软雅黑" w:cs="微软雅黑"/>
          <w:b/>
          <w:bCs/>
          <w:kern w:val="2"/>
          <w:sz w:val="24"/>
          <w:szCs w:val="24"/>
          <w:lang w:val="en-US" w:eastAsia="zh-CN" w:bidi="ar"/>
        </w:rPr>
        <w:t>争议解决</w:t>
      </w:r>
    </w:p>
    <w:p w14:paraId="5A466E64">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r>
        <w:rPr>
          <w:rFonts w:hint="eastAsia" w:ascii="微软雅黑" w:hAnsi="微软雅黑" w:eastAsia="微软雅黑" w:cs="微软雅黑"/>
          <w:color w:val="000000"/>
          <w:sz w:val="24"/>
          <w:szCs w:val="24"/>
          <w:lang w:val="en-US"/>
        </w:rPr>
        <w:t>凡因本合同引起的或与本合同有关的任何争议，均提交</w:t>
      </w:r>
      <w:r>
        <w:rPr>
          <w:rFonts w:hint="eastAsia" w:ascii="微软雅黑" w:hAnsi="微软雅黑" w:eastAsia="微软雅黑" w:cs="微软雅黑"/>
          <w:color w:val="000000"/>
          <w:sz w:val="24"/>
          <w:szCs w:val="24"/>
          <w:lang w:val="en-US" w:eastAsia="zh-CN"/>
        </w:rPr>
        <w:t>蚌埠</w:t>
      </w:r>
      <w:r>
        <w:rPr>
          <w:rFonts w:hint="eastAsia" w:ascii="微软雅黑" w:hAnsi="微软雅黑" w:eastAsia="微软雅黑" w:cs="微软雅黑"/>
          <w:color w:val="000000"/>
          <w:sz w:val="24"/>
          <w:szCs w:val="24"/>
          <w:lang w:val="en-US"/>
        </w:rPr>
        <w:t>仲裁委员会，按照该会的仲裁规则进行仲裁。仲裁裁决是终局的，对双方均有约束力。</w:t>
      </w:r>
    </w:p>
    <w:p w14:paraId="5382CE62">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color w:val="000000"/>
          <w:kern w:val="2"/>
          <w:sz w:val="24"/>
          <w:szCs w:val="24"/>
          <w:lang w:val="en-US" w:eastAsia="zh-CN" w:bidi="ar"/>
        </w:rPr>
      </w:pPr>
      <w:bookmarkStart w:id="9" w:name="10"/>
    </w:p>
    <w:p w14:paraId="08685C80">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十一、</w:t>
      </w:r>
      <w:bookmarkEnd w:id="9"/>
      <w:r>
        <w:rPr>
          <w:rFonts w:hint="eastAsia" w:ascii="微软雅黑" w:hAnsi="微软雅黑" w:eastAsia="微软雅黑" w:cs="微软雅黑"/>
          <w:b/>
          <w:bCs w:val="0"/>
          <w:color w:val="000000"/>
          <w:kern w:val="2"/>
          <w:sz w:val="24"/>
          <w:szCs w:val="24"/>
          <w:lang w:val="en-US" w:eastAsia="zh-CN" w:bidi="ar"/>
        </w:rPr>
        <w:t>其他约定</w:t>
      </w:r>
    </w:p>
    <w:p w14:paraId="52A7C7B6">
      <w:pPr>
        <w:keepNext w:val="0"/>
        <w:keepLines w:val="0"/>
        <w:pageBreakBefore w:val="0"/>
        <w:tabs>
          <w:tab w:val="left" w:pos="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0"/>
          <w:sz w:val="24"/>
          <w:szCs w:val="24"/>
          <w:lang w:val="en-US" w:eastAsia="zh-CN" w:bidi="ar"/>
        </w:rPr>
        <w:t>1、本合同自双方或双方法定代表人或其委托代理人签字并加盖单位公章或合同专用章之日起生效，</w:t>
      </w:r>
      <w:r>
        <w:rPr>
          <w:rFonts w:hint="eastAsia" w:ascii="微软雅黑" w:hAnsi="微软雅黑" w:eastAsia="微软雅黑" w:cs="微软雅黑"/>
          <w:color w:val="000000" w:themeColor="text1"/>
          <w:sz w:val="24"/>
          <w:szCs w:val="24"/>
          <w14:textFill>
            <w14:solidFill>
              <w14:schemeClr w14:val="tx1"/>
            </w14:solidFill>
          </w14:textFill>
        </w:rPr>
        <w:t>约定事项全部完成后失效，但保密条款除外。</w:t>
      </w:r>
    </w:p>
    <w:p w14:paraId="3F877FC2">
      <w:pPr>
        <w:keepNext w:val="0"/>
        <w:keepLines w:val="0"/>
        <w:pageBreakBefore w:val="0"/>
        <w:tabs>
          <w:tab w:val="left" w:pos="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具有同等法律效力</w:t>
      </w:r>
      <w:r>
        <w:rPr>
          <w:rFonts w:hint="eastAsia" w:ascii="微软雅黑" w:hAnsi="微软雅黑" w:eastAsia="微软雅黑" w:cs="微软雅黑"/>
          <w:color w:val="000000" w:themeColor="text1"/>
          <w:sz w:val="24"/>
          <w:szCs w:val="24"/>
          <w14:textFill>
            <w14:solidFill>
              <w14:schemeClr w14:val="tx1"/>
            </w14:solidFill>
          </w14:textFill>
        </w:rPr>
        <w:t>。</w:t>
      </w:r>
    </w:p>
    <w:p w14:paraId="7AA587D6">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、在本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执行过程中，如发现相关事项约定不明确，或者履行</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其他事项</w:t>
      </w:r>
      <w:r>
        <w:rPr>
          <w:rFonts w:hint="eastAsia" w:ascii="微软雅黑" w:hAnsi="微软雅黑" w:eastAsia="微软雅黑" w:cs="微软雅黑"/>
          <w:color w:val="000000" w:themeColor="text1"/>
          <w:sz w:val="24"/>
          <w:szCs w:val="24"/>
          <w14:textFill>
            <w14:solidFill>
              <w14:schemeClr w14:val="tx1"/>
            </w14:solidFill>
          </w14:textFill>
        </w:rPr>
        <w:t>受到限制需要增加、调整约定事项的，甲乙双方可对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相关条款进行变更，并签订补充协议或者重新签订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书。</w:t>
      </w:r>
    </w:p>
    <w:p w14:paraId="46376CF9">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4</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766DCD95">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67159BF5">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5CB0BE76">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596B2630">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5AF05CEE">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44844DD6">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068EC3B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1C01B0C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4C5994AE">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062AF32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59C69A4C">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6546C698">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77582863">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21CAF5C0">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639918BC">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343105D6">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49A5321A">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B1E1400">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2D0A7AD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71F435E3">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41AAC936">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549E1599">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432E1563">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779EBF9F">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2E3FEE0F">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5FEF376C">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5A317216">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00562C25">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396346A5">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7EB9CFEF">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1D3228CA">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011DC3D">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0E43F482">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066353D3">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191B6BB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0FF77317">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7239FC29">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45E6202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1CC69502">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301FB37A">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0F50676C">
      <w:pPr>
        <w:keepNext w:val="0"/>
        <w:keepLines w:val="0"/>
        <w:pageBreakBefore w:val="0"/>
        <w:tabs>
          <w:tab w:val="left" w:pos="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CCA62DF">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12340073">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1CCBB71E">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DC0FDD0">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E1A591E">
      <w:pPr>
        <w:keepNext w:val="0"/>
        <w:keepLines w:val="0"/>
        <w:pageBreakBefore w:val="0"/>
        <w:tabs>
          <w:tab w:val="left" w:pos="72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FB322BD">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651E68BC">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0F30A23A">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3FB28B47">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57866FE">
      <w:pPr>
        <w:keepNext w:val="0"/>
        <w:keepLines w:val="0"/>
        <w:pageBreakBefore w:val="0"/>
        <w:tabs>
          <w:tab w:val="left" w:pos="72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1A1D4B40">
      <w:pPr>
        <w:keepNext w:val="0"/>
        <w:keepLines w:val="0"/>
        <w:pageBreakBefore w:val="0"/>
        <w:tabs>
          <w:tab w:val="left" w:pos="72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B70AB83">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09E5A42D">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7C41AD8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p>
    <w:p w14:paraId="3F687B81">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sz w:val="24"/>
          <w:szCs w:val="24"/>
        </w:rPr>
      </w:pPr>
    </w:p>
    <w:bookmarkEnd w:id="1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8BC8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12F7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C12F7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0E8D2B7D"/>
    <w:rsid w:val="05937A9E"/>
    <w:rsid w:val="0BCE1A6C"/>
    <w:rsid w:val="0E8D2B7D"/>
    <w:rsid w:val="52077BC3"/>
    <w:rsid w:val="D6D84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rPr>
  </w:style>
  <w:style w:type="paragraph" w:styleId="3">
    <w:name w:val="header"/>
    <w:basedOn w:val="1"/>
    <w:link w:val="1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paragraph" w:styleId="5">
    <w:name w:val="Title"/>
    <w:basedOn w:val="1"/>
    <w:next w:val="1"/>
    <w:link w:val="9"/>
    <w:qFormat/>
    <w:uiPriority w:val="0"/>
    <w:pPr>
      <w:keepNext w:val="0"/>
      <w:keepLines w:val="0"/>
      <w:widowControl w:val="0"/>
      <w:suppressLineNumbers w:val="0"/>
      <w:spacing w:before="240" w:beforeAutospacing="0" w:after="60" w:afterAutospacing="0"/>
      <w:ind w:left="0" w:right="0"/>
      <w:jc w:val="center"/>
      <w:outlineLvl w:val="0"/>
    </w:pPr>
    <w:rPr>
      <w:rFonts w:hint="eastAsia" w:ascii="等线 Light" w:hAnsi="等线 Light" w:eastAsia="黑体" w:cs="Times New Roman"/>
      <w:b/>
      <w:bCs/>
      <w:kern w:val="2"/>
      <w:sz w:val="32"/>
      <w:szCs w:val="32"/>
      <w:lang w:val="en-US" w:eastAsia="zh-CN" w:bidi="ar"/>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标题 字符"/>
    <w:basedOn w:val="8"/>
    <w:link w:val="5"/>
    <w:qFormat/>
    <w:uiPriority w:val="0"/>
    <w:rPr>
      <w:rFonts w:hint="eastAsia" w:ascii="等线 Light" w:hAnsi="等线 Light" w:eastAsia="黑体" w:cs="Times New Roman"/>
      <w:b/>
      <w:bCs/>
      <w:sz w:val="32"/>
      <w:szCs w:val="32"/>
    </w:rPr>
  </w:style>
  <w:style w:type="character" w:customStyle="1" w:styleId="10">
    <w:name w:val="页眉 字符"/>
    <w:basedOn w:val="8"/>
    <w:link w:val="3"/>
    <w:qFormat/>
    <w:uiPriority w:val="0"/>
    <w:rPr>
      <w:sz w:val="18"/>
      <w:szCs w:val="18"/>
    </w:rPr>
  </w:style>
  <w:style w:type="character" w:customStyle="1" w:styleId="11">
    <w:name w:val="页脚 字符"/>
    <w:basedOn w:val="8"/>
    <w:link w:val="2"/>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2955</Words>
  <Characters>2955</Characters>
  <Lines>0</Lines>
  <Paragraphs>0</Paragraphs>
  <TotalTime>3</TotalTime>
  <ScaleCrop>false</ScaleCrop>
  <LinksUpToDate>false</LinksUpToDate>
  <CharactersWithSpaces>3343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2023-07-22T00:27:00Z</dcterms:created>
  <dc:creator>差不多先生</dc:creator>
  <cp:lastModifiedBy>豪</cp:lastModifiedBy>
  <dcterms:modified xsi:type="dcterms:W3CDTF">2026-03-22T07:59:44Z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469DACD66E054ED1A9E5B7469C80A784_11</vt:lpwstr>
  </property>
  <property fmtid="{D5CDD505-2E9C-101B-9397-08002B2CF9AE}" pid="4" name="KSOTemplateDocerSaveRecord">
    <vt:lpwstr>eyJoZGlkIjoiNTg0MzMyNGJiMDEzODc5ODNlMGVjODViOWRkZjg1MDgiLCJ1c2VySWQiOiIxMjc2Mzc3NjgxIn0=</vt:lpwstr>
  </property>
</Properties>
</file>