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70C70">
      <w:pPr>
        <w:pStyle w:val="2"/>
        <w:spacing w:beforeLines="0" w:afterLines="0" w:line="360" w:lineRule="auto"/>
        <w:ind w:firstLine="480" w:firstLineChars="200"/>
        <w:rPr>
          <w:rFonts w:hint="eastAsia" w:ascii="Kaiti SC Regular" w:hAnsi="Kaiti SC Regular" w:eastAsia="Kaiti SC Regular" w:cs="Kaiti SC Regular"/>
          <w:color w:val="000000" w:themeColor="text1"/>
          <w:sz w:val="24"/>
          <w:szCs w:val="24"/>
          <w:u w:val="none"/>
          <w14:textFill>
            <w14:solidFill>
              <w14:schemeClr w14:val="tx1"/>
            </w14:solidFill>
          </w14:textFill>
        </w:rPr>
      </w:pPr>
    </w:p>
    <w:p w14:paraId="7F7F1566">
      <w:pPr>
        <w:spacing w:beforeLines="0" w:afterLines="0" w:line="360" w:lineRule="auto"/>
        <w:ind w:firstLine="708" w:firstLineChars="200"/>
        <w:jc w:val="center"/>
        <w:rPr>
          <w:rFonts w:hint="eastAsia" w:ascii="微软雅黑" w:hAnsi="微软雅黑" w:eastAsia="微软雅黑" w:cs="微软雅黑"/>
          <w:b/>
          <w:bCs w:val="0"/>
          <w:color w:val="000000" w:themeColor="text1"/>
          <w:spacing w:val="57"/>
          <w:sz w:val="24"/>
          <w:szCs w:val="24"/>
          <w:u w:val="none"/>
          <w14:textFill>
            <w14:solidFill>
              <w14:schemeClr w14:val="tx1"/>
            </w14:solidFill>
          </w14:textFill>
        </w:rPr>
      </w:pPr>
      <w:bookmarkStart w:id="0" w:name="_GoBack"/>
      <w:r>
        <w:rPr>
          <w:rFonts w:hint="eastAsia" w:ascii="微软雅黑" w:hAnsi="微软雅黑" w:eastAsia="微软雅黑" w:cs="微软雅黑"/>
          <w:b/>
          <w:bCs w:val="0"/>
          <w:color w:val="000000" w:themeColor="text1"/>
          <w:spacing w:val="57"/>
          <w:sz w:val="24"/>
          <w:szCs w:val="24"/>
          <w:u w:val="none"/>
          <w14:textFill>
            <w14:solidFill>
              <w14:schemeClr w14:val="tx1"/>
            </w14:solidFill>
          </w14:textFill>
        </w:rPr>
        <w:t>销售代理合同解除协议</w:t>
      </w:r>
    </w:p>
    <w:p w14:paraId="2E97C8F9">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p>
    <w:p w14:paraId="7AC35CE1">
      <w:pPr>
        <w:spacing w:beforeLines="0" w:afterLines="0" w:line="360" w:lineRule="auto"/>
        <w:ind w:firstLine="480" w:firstLineChars="200"/>
        <w:rPr>
          <w:rFonts w:hint="eastAsia" w:ascii="微软雅黑" w:hAnsi="微软雅黑" w:eastAsia="微软雅黑" w:cs="微软雅黑"/>
          <w:b/>
          <w:bCs w:val="0"/>
          <w:color w:val="000000" w:themeColor="text1"/>
          <w:sz w:val="24"/>
          <w:szCs w:val="24"/>
          <w:u w:val="none"/>
          <w14:textFill>
            <w14:solidFill>
              <w14:schemeClr w14:val="tx1"/>
            </w14:solidFill>
          </w14:textFill>
        </w:rPr>
      </w:pPr>
      <w:r>
        <w:rPr>
          <w:rFonts w:hint="eastAsia" w:ascii="微软雅黑" w:hAnsi="微软雅黑" w:eastAsia="微软雅黑" w:cs="微软雅黑"/>
          <w:b/>
          <w:bCs w:val="0"/>
          <w:color w:val="000000" w:themeColor="text1"/>
          <w:sz w:val="24"/>
          <w:szCs w:val="24"/>
          <w:u w:val="none"/>
          <w14:textFill>
            <w14:solidFill>
              <w14:schemeClr w14:val="tx1"/>
            </w14:solidFill>
          </w14:textFill>
        </w:rPr>
        <w:t>甲方：</w:t>
      </w:r>
    </w:p>
    <w:p w14:paraId="2E38D50A">
      <w:pPr>
        <w:spacing w:beforeLines="0" w:afterLines="0" w:line="360" w:lineRule="auto"/>
        <w:ind w:firstLine="480" w:firstLineChars="200"/>
        <w:rPr>
          <w:rFonts w:hint="eastAsia" w:ascii="微软雅黑" w:hAnsi="微软雅黑" w:eastAsia="微软雅黑" w:cs="微软雅黑"/>
          <w:b/>
          <w:bCs w:val="0"/>
          <w:color w:val="000000" w:themeColor="text1"/>
          <w:sz w:val="24"/>
          <w:szCs w:val="24"/>
          <w:u w:val="none"/>
          <w:lang w:eastAsia="zh-Hans"/>
          <w14:textFill>
            <w14:solidFill>
              <w14:schemeClr w14:val="tx1"/>
            </w14:solidFill>
          </w14:textFill>
        </w:rPr>
      </w:pPr>
      <w:r>
        <w:rPr>
          <w:rFonts w:hint="eastAsia" w:ascii="微软雅黑" w:hAnsi="微软雅黑" w:eastAsia="微软雅黑" w:cs="微软雅黑"/>
          <w:b/>
          <w:bCs w:val="0"/>
          <w:color w:val="000000" w:themeColor="text1"/>
          <w:sz w:val="24"/>
          <w:szCs w:val="24"/>
          <w:u w:val="none"/>
          <w:lang w:val="en-US" w:eastAsia="zh-Hans"/>
          <w14:textFill>
            <w14:solidFill>
              <w14:schemeClr w14:val="tx1"/>
            </w14:solidFill>
          </w14:textFill>
        </w:rPr>
        <w:t>统一社会信用代码</w:t>
      </w:r>
      <w:r>
        <w:rPr>
          <w:rFonts w:hint="eastAsia" w:ascii="微软雅黑" w:hAnsi="微软雅黑" w:eastAsia="微软雅黑" w:cs="微软雅黑"/>
          <w:b/>
          <w:bCs w:val="0"/>
          <w:color w:val="000000" w:themeColor="text1"/>
          <w:sz w:val="24"/>
          <w:szCs w:val="24"/>
          <w:u w:val="none"/>
          <w:lang w:eastAsia="zh-Hans"/>
          <w14:textFill>
            <w14:solidFill>
              <w14:schemeClr w14:val="tx1"/>
            </w14:solidFill>
          </w14:textFill>
        </w:rPr>
        <w:t>：</w:t>
      </w:r>
    </w:p>
    <w:p w14:paraId="78EC3B95">
      <w:pPr>
        <w:pStyle w:val="2"/>
        <w:rPr>
          <w:rFonts w:hint="eastAsia" w:ascii="微软雅黑" w:hAnsi="微软雅黑" w:eastAsia="微软雅黑" w:cs="微软雅黑"/>
          <w:sz w:val="24"/>
          <w:szCs w:val="24"/>
          <w:lang w:eastAsia="zh-Hans"/>
        </w:rPr>
      </w:pPr>
    </w:p>
    <w:p w14:paraId="76DEA2F9">
      <w:pPr>
        <w:spacing w:beforeLines="0" w:afterLines="0" w:line="360" w:lineRule="auto"/>
        <w:ind w:firstLine="480" w:firstLineChars="200"/>
        <w:rPr>
          <w:rFonts w:hint="eastAsia" w:ascii="微软雅黑" w:hAnsi="微软雅黑" w:eastAsia="微软雅黑" w:cs="微软雅黑"/>
          <w:b/>
          <w:bCs w:val="0"/>
          <w:color w:val="000000" w:themeColor="text1"/>
          <w:sz w:val="24"/>
          <w:szCs w:val="24"/>
          <w:u w:val="none"/>
          <w14:textFill>
            <w14:solidFill>
              <w14:schemeClr w14:val="tx1"/>
            </w14:solidFill>
          </w14:textFill>
        </w:rPr>
      </w:pPr>
      <w:r>
        <w:rPr>
          <w:rFonts w:hint="eastAsia" w:ascii="微软雅黑" w:hAnsi="微软雅黑" w:eastAsia="微软雅黑" w:cs="微软雅黑"/>
          <w:b/>
          <w:bCs w:val="0"/>
          <w:color w:val="000000" w:themeColor="text1"/>
          <w:sz w:val="24"/>
          <w:szCs w:val="24"/>
          <w:u w:val="none"/>
          <w14:textFill>
            <w14:solidFill>
              <w14:schemeClr w14:val="tx1"/>
            </w14:solidFill>
          </w14:textFill>
        </w:rPr>
        <w:t>乙方：</w:t>
      </w:r>
    </w:p>
    <w:p w14:paraId="7C322ED5">
      <w:pPr>
        <w:spacing w:beforeLines="0" w:afterLines="0" w:line="360" w:lineRule="auto"/>
        <w:ind w:firstLine="480" w:firstLineChars="200"/>
        <w:rPr>
          <w:rFonts w:hint="eastAsia" w:ascii="微软雅黑" w:hAnsi="微软雅黑" w:eastAsia="微软雅黑" w:cs="微软雅黑"/>
          <w:b/>
          <w:bCs w:val="0"/>
          <w:color w:val="000000" w:themeColor="text1"/>
          <w:sz w:val="24"/>
          <w:szCs w:val="24"/>
          <w:u w:val="none"/>
          <w:lang w:eastAsia="zh-Hans"/>
          <w14:textFill>
            <w14:solidFill>
              <w14:schemeClr w14:val="tx1"/>
            </w14:solidFill>
          </w14:textFill>
        </w:rPr>
      </w:pPr>
      <w:r>
        <w:rPr>
          <w:rFonts w:hint="eastAsia" w:ascii="微软雅黑" w:hAnsi="微软雅黑" w:eastAsia="微软雅黑" w:cs="微软雅黑"/>
          <w:b/>
          <w:bCs w:val="0"/>
          <w:color w:val="000000" w:themeColor="text1"/>
          <w:sz w:val="24"/>
          <w:szCs w:val="24"/>
          <w:u w:val="none"/>
          <w:lang w:val="en-US" w:eastAsia="zh-Hans"/>
          <w14:textFill>
            <w14:solidFill>
              <w14:schemeClr w14:val="tx1"/>
            </w14:solidFill>
          </w14:textFill>
        </w:rPr>
        <w:t>统一社会信用代码</w:t>
      </w:r>
      <w:r>
        <w:rPr>
          <w:rFonts w:hint="eastAsia" w:ascii="微软雅黑" w:hAnsi="微软雅黑" w:eastAsia="微软雅黑" w:cs="微软雅黑"/>
          <w:b/>
          <w:bCs w:val="0"/>
          <w:color w:val="000000" w:themeColor="text1"/>
          <w:sz w:val="24"/>
          <w:szCs w:val="24"/>
          <w:u w:val="none"/>
          <w:lang w:eastAsia="zh-Hans"/>
          <w14:textFill>
            <w14:solidFill>
              <w14:schemeClr w14:val="tx1"/>
            </w14:solidFill>
          </w14:textFill>
        </w:rPr>
        <w:t>：</w:t>
      </w:r>
    </w:p>
    <w:p w14:paraId="15F53A1B">
      <w:pPr>
        <w:pStyle w:val="2"/>
        <w:rPr>
          <w:rFonts w:hint="eastAsia" w:ascii="微软雅黑" w:hAnsi="微软雅黑" w:eastAsia="微软雅黑" w:cs="微软雅黑"/>
          <w:sz w:val="24"/>
          <w:szCs w:val="24"/>
          <w:lang w:eastAsia="zh-Hans"/>
        </w:rPr>
      </w:pPr>
    </w:p>
    <w:p w14:paraId="6AF421D9">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bCs/>
          <w:color w:val="000000" w:themeColor="text1"/>
          <w:sz w:val="24"/>
          <w:szCs w:val="24"/>
          <w:u w:val="none"/>
          <w14:textFill>
            <w14:solidFill>
              <w14:schemeClr w14:val="tx1"/>
            </w14:solidFill>
          </w14:textFill>
        </w:rPr>
        <w:t>以</w:t>
      </w:r>
      <w:r>
        <w:rPr>
          <w:rFonts w:hint="eastAsia" w:ascii="微软雅黑" w:hAnsi="微软雅黑" w:eastAsia="微软雅黑" w:cs="微软雅黑"/>
          <w:color w:val="000000" w:themeColor="text1"/>
          <w:sz w:val="24"/>
          <w:szCs w:val="24"/>
          <w:u w:val="none"/>
          <w14:textFill>
            <w14:solidFill>
              <w14:schemeClr w14:val="tx1"/>
            </w14:solidFill>
          </w14:textFill>
        </w:rPr>
        <w:t>上合同主体合称“双方”</w:t>
      </w:r>
    </w:p>
    <w:p w14:paraId="574F1DAD">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鉴于：双方于    年  月  日签订了《</w:t>
      </w: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XX</w:t>
      </w:r>
      <w:r>
        <w:rPr>
          <w:rFonts w:hint="eastAsia" w:ascii="微软雅黑" w:hAnsi="微软雅黑" w:eastAsia="微软雅黑" w:cs="微软雅黑"/>
          <w:color w:val="000000" w:themeColor="text1"/>
          <w:sz w:val="24"/>
          <w:szCs w:val="24"/>
          <w:u w:val="none"/>
          <w14:textFill>
            <w14:solidFill>
              <w14:schemeClr w14:val="tx1"/>
            </w14:solidFill>
          </w14:textFill>
        </w:rPr>
        <w:t>代理合同》（简称《原合同》），经双方协商一致，就解除《原合同》事宜，达成本协议，以资遵守。</w:t>
      </w:r>
    </w:p>
    <w:p w14:paraId="09777777">
      <w:pPr>
        <w:spacing w:beforeLines="0" w:afterLines="0" w:line="360" w:lineRule="auto"/>
        <w:ind w:firstLine="480" w:firstLineChars="200"/>
        <w:rPr>
          <w:rFonts w:hint="eastAsia" w:ascii="微软雅黑" w:hAnsi="微软雅黑" w:eastAsia="微软雅黑" w:cs="微软雅黑"/>
          <w:b/>
          <w:bCs/>
          <w:color w:val="000000" w:themeColor="text1"/>
          <w:sz w:val="24"/>
          <w:szCs w:val="24"/>
          <w:u w:val="none"/>
          <w14:textFill>
            <w14:solidFill>
              <w14:schemeClr w14:val="tx1"/>
            </w14:solidFill>
          </w14:textFill>
        </w:rPr>
      </w:pPr>
      <w:r>
        <w:rPr>
          <w:rFonts w:hint="eastAsia" w:ascii="微软雅黑" w:hAnsi="微软雅黑" w:eastAsia="微软雅黑" w:cs="微软雅黑"/>
          <w:b/>
          <w:bCs/>
          <w:color w:val="000000" w:themeColor="text1"/>
          <w:sz w:val="24"/>
          <w:szCs w:val="24"/>
          <w:u w:val="none"/>
          <w14:textFill>
            <w14:solidFill>
              <w14:schemeClr w14:val="tx1"/>
            </w14:solidFill>
          </w14:textFill>
        </w:rPr>
        <w:t>一、解除合同</w:t>
      </w:r>
    </w:p>
    <w:p w14:paraId="38CF8DF9">
      <w:pPr>
        <w:spacing w:beforeLines="0" w:afterLines="0" w:line="360" w:lineRule="auto"/>
        <w:ind w:firstLine="480" w:firstLineChars="200"/>
        <w:jc w:val="left"/>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甲乙双方协商一致同意，《原合同》自本协议生效之日起解除。就提前解除《原合同》事宜，双方确认互不根据《原合同》要求对方承担任何形式的违约责任。</w:t>
      </w:r>
    </w:p>
    <w:p w14:paraId="20C3AFB2">
      <w:pPr>
        <w:pStyle w:val="2"/>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p>
    <w:p w14:paraId="653AA5A7">
      <w:pPr>
        <w:spacing w:beforeLines="0" w:afterLines="0" w:line="360" w:lineRule="auto"/>
        <w:ind w:firstLine="480" w:firstLineChars="200"/>
        <w:rPr>
          <w:rFonts w:hint="eastAsia" w:ascii="微软雅黑" w:hAnsi="微软雅黑" w:eastAsia="微软雅黑" w:cs="微软雅黑"/>
          <w:b/>
          <w:bCs/>
          <w:color w:val="000000" w:themeColor="text1"/>
          <w:sz w:val="24"/>
          <w:szCs w:val="24"/>
          <w:u w:val="none"/>
          <w14:textFill>
            <w14:solidFill>
              <w14:schemeClr w14:val="tx1"/>
            </w14:solidFill>
          </w14:textFill>
        </w:rPr>
      </w:pPr>
      <w:r>
        <w:rPr>
          <w:rFonts w:hint="eastAsia" w:ascii="微软雅黑" w:hAnsi="微软雅黑" w:eastAsia="微软雅黑" w:cs="微软雅黑"/>
          <w:b/>
          <w:bCs/>
          <w:color w:val="000000" w:themeColor="text1"/>
          <w:sz w:val="24"/>
          <w:szCs w:val="24"/>
          <w:u w:val="none"/>
          <w14:textFill>
            <w14:solidFill>
              <w14:schemeClr w14:val="tx1"/>
            </w14:solidFill>
          </w14:textFill>
        </w:rPr>
        <w:t>二、办理移交和撤场</w:t>
      </w:r>
    </w:p>
    <w:p w14:paraId="686A7B79">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（一）移交工作要求：</w:t>
      </w:r>
    </w:p>
    <w:p w14:paraId="0727AD92">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1、移交前乙方需要清理销售台账资料，与项目相关的任何资料均不能带离销售现场（包括但不仅限于项目房源、客户信息等），并根据甲方要求拟定《移交确认单》。</w:t>
      </w:r>
    </w:p>
    <w:p w14:paraId="2120D932">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2、由甲方组织办理的项目二期总包团购部分的销售工作,在《原合同》解除后，由乙方指定不少于1名专职工作人员在团购工作开展时驻场负责全程办理有关事项（如遇团购集中签约时，乙方需加派足够数量的工作人员以保证团购工作正常开展），直至最后一组团购客户办理完毕。</w:t>
      </w:r>
    </w:p>
    <w:p w14:paraId="661B5DA1">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（二）本协议生效后至新的销售代理公司正式进场办理移交前，乙方继续按《原合同》有关约定要求开展销售代理工作。期间产生的新增销售和代理佣金，并按本协议第三条</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第“（三）”款</w:t>
      </w:r>
      <w:r>
        <w:rPr>
          <w:rFonts w:hint="eastAsia" w:ascii="微软雅黑" w:hAnsi="微软雅黑" w:eastAsia="微软雅黑" w:cs="微软雅黑"/>
          <w:color w:val="000000" w:themeColor="text1"/>
          <w:sz w:val="24"/>
          <w:szCs w:val="24"/>
          <w:u w:val="none"/>
          <w14:textFill>
            <w14:solidFill>
              <w14:schemeClr w14:val="tx1"/>
            </w14:solidFill>
          </w14:textFill>
        </w:rPr>
        <w:t>约定办理结算。</w:t>
      </w:r>
    </w:p>
    <w:p w14:paraId="4786CC41">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（三）双方确认，本协议生效后，乙方在接到甲方书面通知的5个日历天内撤离项目销售现场，撤场前按照甲方移交要求与甲方指定的单位办理完毕移交工作，并在办理完毕移交工作后签订《移交确认单》。</w:t>
      </w:r>
    </w:p>
    <w:p w14:paraId="584225E9">
      <w:pPr>
        <w:pStyle w:val="2"/>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p>
    <w:p w14:paraId="58F15C36">
      <w:pPr>
        <w:spacing w:beforeLines="0" w:afterLines="0" w:line="360" w:lineRule="auto"/>
        <w:ind w:firstLine="480" w:firstLineChars="200"/>
        <w:rPr>
          <w:rFonts w:hint="eastAsia" w:ascii="微软雅黑" w:hAnsi="微软雅黑" w:eastAsia="微软雅黑" w:cs="微软雅黑"/>
          <w:b/>
          <w:bCs/>
          <w:color w:val="000000" w:themeColor="text1"/>
          <w:sz w:val="24"/>
          <w:szCs w:val="24"/>
          <w:u w:val="none"/>
          <w14:textFill>
            <w14:solidFill>
              <w14:schemeClr w14:val="tx1"/>
            </w14:solidFill>
          </w14:textFill>
        </w:rPr>
      </w:pPr>
      <w:r>
        <w:rPr>
          <w:rFonts w:hint="eastAsia" w:ascii="微软雅黑" w:hAnsi="微软雅黑" w:eastAsia="微软雅黑" w:cs="微软雅黑"/>
          <w:b/>
          <w:bCs/>
          <w:color w:val="000000" w:themeColor="text1"/>
          <w:sz w:val="24"/>
          <w:szCs w:val="24"/>
          <w:u w:val="none"/>
          <w14:textFill>
            <w14:solidFill>
              <w14:schemeClr w14:val="tx1"/>
            </w14:solidFill>
          </w14:textFill>
        </w:rPr>
        <w:t>三、费用结算：</w:t>
      </w:r>
    </w:p>
    <w:p w14:paraId="47398E30">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（一）销售业绩的确认：截止  年  月  日，乙方成功销售签约房源      套，签约金额      元，明细详见。</w:t>
      </w:r>
    </w:p>
    <w:p w14:paraId="61DC94B1">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（二）截止  年  月  日止，代理费结算支付情况如下：</w:t>
      </w:r>
    </w:p>
    <w:p w14:paraId="04BBD5F2">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1.《原合同》履行期间已达到结算条件且已支付代理费的房源包括：公寓   套，住宅  套，车位  个，签约金额共计    元。应结代理费：    元（大写：         元整），其中已结算代理费      （大写：        元整），甲方扣留履约保证金：      （大写：        元整）。</w:t>
      </w:r>
    </w:p>
    <w:p w14:paraId="70B5D066">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2.</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截止</w:t>
      </w:r>
      <w:r>
        <w:rPr>
          <w:rFonts w:hint="eastAsia" w:ascii="微软雅黑" w:hAnsi="微软雅黑" w:eastAsia="微软雅黑" w:cs="微软雅黑"/>
          <w:color w:val="000000" w:themeColor="text1"/>
          <w:sz w:val="24"/>
          <w:szCs w:val="24"/>
          <w:u w:val="none"/>
          <w14:textFill>
            <w14:solidFill>
              <w14:schemeClr w14:val="tx1"/>
            </w14:solidFill>
          </w14:textFill>
        </w:rPr>
        <w:t xml:space="preserve">  年</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none"/>
          <w14:textFill>
            <w14:solidFill>
              <w14:schemeClr w14:val="tx1"/>
            </w14:solidFill>
          </w14:textFill>
        </w:rPr>
        <w:t>月</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none"/>
          <w14:textFill>
            <w14:solidFill>
              <w14:schemeClr w14:val="tx1"/>
            </w14:solidFill>
          </w14:textFill>
        </w:rPr>
        <w:t>日</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w:t>
      </w:r>
      <w:r>
        <w:rPr>
          <w:rFonts w:hint="eastAsia" w:ascii="微软雅黑" w:hAnsi="微软雅黑" w:eastAsia="微软雅黑" w:cs="微软雅黑"/>
          <w:color w:val="000000" w:themeColor="text1"/>
          <w:sz w:val="24"/>
          <w:szCs w:val="24"/>
          <w:u w:val="none"/>
          <w14:textFill>
            <w14:solidFill>
              <w14:schemeClr w14:val="tx1"/>
            </w14:solidFill>
          </w14:textFill>
        </w:rPr>
        <w:t>《原合同》履行期间已达到结算条件但未支付代理费的房源包括：公寓      套，住宅   套，车位  个，签约金额共计      元，此部分代理费不再扣除履约保证金，应结代理费    元（大写：   元整），</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双</w:t>
      </w:r>
      <w:r>
        <w:rPr>
          <w:rFonts w:hint="eastAsia" w:ascii="微软雅黑" w:hAnsi="微软雅黑" w:eastAsia="微软雅黑" w:cs="微软雅黑"/>
          <w:color w:val="000000" w:themeColor="text1"/>
          <w:sz w:val="24"/>
          <w:szCs w:val="24"/>
          <w:u w:val="none"/>
          <w14:textFill>
            <w14:solidFill>
              <w14:schemeClr w14:val="tx1"/>
            </w14:solidFill>
          </w14:textFill>
        </w:rPr>
        <w:t>方于本协议生效后20个工作日内办理</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完</w:t>
      </w:r>
      <w:r>
        <w:rPr>
          <w:rFonts w:hint="eastAsia" w:ascii="微软雅黑" w:hAnsi="微软雅黑" w:eastAsia="微软雅黑" w:cs="微软雅黑"/>
          <w:color w:val="000000" w:themeColor="text1"/>
          <w:sz w:val="24"/>
          <w:szCs w:val="24"/>
          <w:u w:val="none"/>
          <w14:textFill>
            <w14:solidFill>
              <w14:schemeClr w14:val="tx1"/>
            </w14:solidFill>
          </w14:textFill>
        </w:rPr>
        <w:t>结算</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支付</w:t>
      </w:r>
      <w:r>
        <w:rPr>
          <w:rFonts w:hint="eastAsia" w:ascii="微软雅黑" w:hAnsi="微软雅黑" w:eastAsia="微软雅黑" w:cs="微软雅黑"/>
          <w:color w:val="000000" w:themeColor="text1"/>
          <w:sz w:val="24"/>
          <w:szCs w:val="24"/>
          <w:u w:val="none"/>
          <w14:textFill>
            <w14:solidFill>
              <w14:schemeClr w14:val="tx1"/>
            </w14:solidFill>
          </w14:textFill>
        </w:rPr>
        <w:t>手续。</w:t>
      </w:r>
    </w:p>
    <w:p w14:paraId="41C4F063">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3.本协议第二条第</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w:t>
      </w:r>
      <w:r>
        <w:rPr>
          <w:rFonts w:hint="eastAsia" w:ascii="微软雅黑" w:hAnsi="微软雅黑" w:eastAsia="微软雅黑" w:cs="微软雅黑"/>
          <w:color w:val="000000" w:themeColor="text1"/>
          <w:sz w:val="24"/>
          <w:szCs w:val="24"/>
          <w:u w:val="none"/>
          <w14:textFill>
            <w14:solidFill>
              <w14:schemeClr w14:val="tx1"/>
            </w14:solidFill>
          </w14:textFill>
        </w:rPr>
        <w:t>二</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款</w:t>
      </w:r>
      <w:r>
        <w:rPr>
          <w:rFonts w:hint="eastAsia" w:ascii="微软雅黑" w:hAnsi="微软雅黑" w:eastAsia="微软雅黑" w:cs="微软雅黑"/>
          <w:color w:val="000000" w:themeColor="text1"/>
          <w:sz w:val="24"/>
          <w:szCs w:val="24"/>
          <w:u w:val="none"/>
          <w14:textFill>
            <w14:solidFill>
              <w14:schemeClr w14:val="tx1"/>
            </w14:solidFill>
          </w14:textFill>
        </w:rPr>
        <w:t>涉及的代理佣金，按照《原合同》约定支付条件进行结算，乙方需安排专人继续跟进服务，</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该部分销售</w:t>
      </w:r>
      <w:r>
        <w:rPr>
          <w:rFonts w:hint="eastAsia" w:ascii="微软雅黑" w:hAnsi="微软雅黑" w:eastAsia="微软雅黑" w:cs="微软雅黑"/>
          <w:color w:val="000000" w:themeColor="text1"/>
          <w:sz w:val="24"/>
          <w:szCs w:val="24"/>
          <w:u w:val="none"/>
          <w14:textFill>
            <w14:solidFill>
              <w14:schemeClr w14:val="tx1"/>
            </w14:solidFill>
          </w14:textFill>
        </w:rPr>
        <w:t>明细以实际发生双方签字确认为准</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w:t>
      </w:r>
      <w:r>
        <w:rPr>
          <w:rFonts w:hint="eastAsia" w:ascii="微软雅黑" w:hAnsi="微软雅黑" w:eastAsia="微软雅黑" w:cs="微软雅黑"/>
          <w:color w:val="000000" w:themeColor="text1"/>
          <w:sz w:val="24"/>
          <w:szCs w:val="24"/>
          <w:u w:val="none"/>
          <w14:textFill>
            <w14:solidFill>
              <w14:schemeClr w14:val="tx1"/>
            </w14:solidFill>
          </w14:textFill>
        </w:rPr>
        <w:t>此部分代理费不再扣除履约保证金，并按本协议第</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w:t>
      </w:r>
      <w:r>
        <w:rPr>
          <w:rFonts w:hint="eastAsia" w:ascii="微软雅黑" w:hAnsi="微软雅黑" w:eastAsia="微软雅黑" w:cs="微软雅黑"/>
          <w:color w:val="000000" w:themeColor="text1"/>
          <w:sz w:val="24"/>
          <w:szCs w:val="24"/>
          <w:u w:val="none"/>
          <w14:textFill>
            <w14:solidFill>
              <w14:schemeClr w14:val="tx1"/>
            </w14:solidFill>
          </w14:textFill>
        </w:rPr>
        <w:t>三</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条第“（三）”款</w:t>
      </w:r>
      <w:r>
        <w:rPr>
          <w:rFonts w:hint="eastAsia" w:ascii="微软雅黑" w:hAnsi="微软雅黑" w:eastAsia="微软雅黑" w:cs="微软雅黑"/>
          <w:color w:val="000000" w:themeColor="text1"/>
          <w:sz w:val="24"/>
          <w:szCs w:val="24"/>
          <w:u w:val="none"/>
          <w14:textFill>
            <w14:solidFill>
              <w14:schemeClr w14:val="tx1"/>
            </w14:solidFill>
          </w14:textFill>
        </w:rPr>
        <w:t>约定办理结算。</w:t>
      </w:r>
    </w:p>
    <w:p w14:paraId="52A5A908">
      <w:pPr>
        <w:spacing w:beforeLines="0" w:afterLines="0" w:line="360" w:lineRule="auto"/>
        <w:ind w:firstLine="480" w:firstLineChars="200"/>
        <w:rPr>
          <w:rFonts w:hint="eastAsia" w:ascii="微软雅黑" w:hAnsi="微软雅黑" w:eastAsia="微软雅黑" w:cs="微软雅黑"/>
          <w:color w:val="000000" w:themeColor="text1"/>
          <w:kern w:val="2"/>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4.双方确认，在《原合同》履行期间由乙方服务的项目二期总包团购客户，双方按《原合同》第10.2.2.4项的约定，并对应甲方与该客户签订《商品房预约合同》时20</w:t>
      </w: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XX</w:t>
      </w:r>
      <w:r>
        <w:rPr>
          <w:rFonts w:hint="eastAsia" w:ascii="微软雅黑" w:hAnsi="微软雅黑" w:eastAsia="微软雅黑" w:cs="微软雅黑"/>
          <w:color w:val="000000" w:themeColor="text1"/>
          <w:sz w:val="24"/>
          <w:szCs w:val="24"/>
          <w:u w:val="none"/>
          <w14:textFill>
            <w14:solidFill>
              <w14:schemeClr w14:val="tx1"/>
            </w14:solidFill>
          </w14:textFill>
        </w:rPr>
        <w:t>年各季度确定的考核支付比例和第10.3.2.2.2款的约定费率进行结算。此部分代理佣金</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甲方</w:t>
      </w:r>
      <w:r>
        <w:rPr>
          <w:rFonts w:hint="eastAsia" w:ascii="微软雅黑" w:hAnsi="微软雅黑" w:eastAsia="微软雅黑" w:cs="微软雅黑"/>
          <w:color w:val="000000" w:themeColor="text1"/>
          <w:sz w:val="24"/>
          <w:szCs w:val="24"/>
          <w:u w:val="none"/>
          <w14:textFill>
            <w14:solidFill>
              <w14:schemeClr w14:val="tx1"/>
            </w14:solidFill>
          </w14:textFill>
        </w:rPr>
        <w:t>不再扣除履约保证金</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w:t>
      </w:r>
      <w:r>
        <w:rPr>
          <w:rFonts w:hint="eastAsia" w:ascii="微软雅黑" w:hAnsi="微软雅黑" w:eastAsia="微软雅黑" w:cs="微软雅黑"/>
          <w:color w:val="000000" w:themeColor="text1"/>
          <w:sz w:val="24"/>
          <w:szCs w:val="24"/>
          <w:u w:val="none"/>
          <w14:textFill>
            <w14:solidFill>
              <w14:schemeClr w14:val="tx1"/>
            </w14:solidFill>
          </w14:textFill>
        </w:rPr>
        <w:t>待达到《原合同》约定的支付结算条件后，甲方每季度结算一次</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在季度首月20号前，结算上一季度达到结算条件的代理佣金。</w:t>
      </w:r>
    </w:p>
    <w:p w14:paraId="5439E30B">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（三）双方约定，自   年  月  日</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起至</w:t>
      </w:r>
      <w:r>
        <w:rPr>
          <w:rFonts w:hint="eastAsia" w:ascii="微软雅黑" w:hAnsi="微软雅黑" w:eastAsia="微软雅黑" w:cs="微软雅黑"/>
          <w:color w:val="000000" w:themeColor="text1"/>
          <w:sz w:val="24"/>
          <w:szCs w:val="24"/>
          <w:u w:val="none"/>
          <w14:textFill>
            <w14:solidFill>
              <w14:schemeClr w14:val="tx1"/>
            </w14:solidFill>
          </w14:textFill>
        </w:rPr>
        <w:t>新的销售代理公司正式进场办理移交</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期间</w:t>
      </w:r>
      <w:r>
        <w:rPr>
          <w:rFonts w:hint="eastAsia" w:ascii="微软雅黑" w:hAnsi="微软雅黑" w:eastAsia="微软雅黑" w:cs="微软雅黑"/>
          <w:color w:val="000000" w:themeColor="text1"/>
          <w:sz w:val="24"/>
          <w:szCs w:val="24"/>
          <w:u w:val="none"/>
          <w14:textFill>
            <w14:solidFill>
              <w14:schemeClr w14:val="tx1"/>
            </w14:solidFill>
          </w14:textFill>
        </w:rPr>
        <w:t>由乙方销售的房源，按照</w:t>
      </w: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X</w:t>
      </w:r>
      <w:r>
        <w:rPr>
          <w:rFonts w:hint="eastAsia" w:ascii="微软雅黑" w:hAnsi="微软雅黑" w:eastAsia="微软雅黑" w:cs="微软雅黑"/>
          <w:color w:val="000000" w:themeColor="text1"/>
          <w:sz w:val="24"/>
          <w:szCs w:val="24"/>
          <w:u w:val="none"/>
          <w14:textFill>
            <w14:solidFill>
              <w14:schemeClr w14:val="tx1"/>
            </w14:solidFill>
          </w14:textFill>
        </w:rPr>
        <w:t>%的销售任务完成比例计算销售代理佣金，且不再扣除履约保证金。</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该部分销售代理佣金</w:t>
      </w:r>
      <w:r>
        <w:rPr>
          <w:rFonts w:hint="eastAsia" w:ascii="微软雅黑" w:hAnsi="微软雅黑" w:eastAsia="微软雅黑" w:cs="微软雅黑"/>
          <w:color w:val="000000" w:themeColor="text1"/>
          <w:sz w:val="24"/>
          <w:szCs w:val="24"/>
          <w:u w:val="none"/>
          <w14:textFill>
            <w14:solidFill>
              <w14:schemeClr w14:val="tx1"/>
            </w14:solidFill>
          </w14:textFill>
        </w:rPr>
        <w:t>待达到《原合同》约定的支付结算条件后，甲方每季度结算一次</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每季度首月20号前，结算上一季度达到结算条件的代理佣金。</w:t>
      </w:r>
    </w:p>
    <w:p w14:paraId="05702622">
      <w:pPr>
        <w:spacing w:beforeLines="0" w:afterLines="0" w:line="360" w:lineRule="auto"/>
        <w:ind w:left="0"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（四）履约保证金：</w:t>
      </w:r>
    </w:p>
    <w:p w14:paraId="7411B10F">
      <w:pPr>
        <w:pStyle w:val="2"/>
        <w:numPr>
          <w:ilvl w:val="-1"/>
          <w:numId w:val="0"/>
        </w:num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根据《原合同》第十条第10.4.7项的约定，非因乙方违约导致合同提前终止的，甲方不再继续扣留履约保证金，按照乙方实际完成的销售任务量和支付比例结算销售代理费，甲方已经扣留的履约保证金同时返还。截止  年  月  日，甲方扣留乙方已结算部分的履约保证金为：      元（大写：   元整）。</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双</w:t>
      </w:r>
      <w:r>
        <w:rPr>
          <w:rFonts w:hint="eastAsia" w:ascii="微软雅黑" w:hAnsi="微软雅黑" w:eastAsia="微软雅黑" w:cs="微软雅黑"/>
          <w:color w:val="000000" w:themeColor="text1"/>
          <w:sz w:val="24"/>
          <w:szCs w:val="24"/>
          <w:u w:val="none"/>
          <w14:textFill>
            <w14:solidFill>
              <w14:schemeClr w14:val="tx1"/>
            </w14:solidFill>
          </w14:textFill>
        </w:rPr>
        <w:t>方于本协议生效后20个工作日内办理</w:t>
      </w:r>
      <w:r>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t>完</w:t>
      </w:r>
      <w:r>
        <w:rPr>
          <w:rFonts w:hint="eastAsia" w:ascii="微软雅黑" w:hAnsi="微软雅黑" w:eastAsia="微软雅黑" w:cs="微软雅黑"/>
          <w:color w:val="000000" w:themeColor="text1"/>
          <w:sz w:val="24"/>
          <w:szCs w:val="24"/>
          <w:u w:val="none"/>
          <w14:textFill>
            <w14:solidFill>
              <w14:schemeClr w14:val="tx1"/>
            </w14:solidFill>
          </w14:textFill>
        </w:rPr>
        <w:t>结算手续。</w:t>
      </w:r>
    </w:p>
    <w:p w14:paraId="01F105A2">
      <w:pPr>
        <w:pStyle w:val="2"/>
        <w:numPr>
          <w:ilvl w:val="-1"/>
          <w:numId w:val="0"/>
        </w:num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p>
    <w:p w14:paraId="61376DB1">
      <w:pPr>
        <w:pStyle w:val="2"/>
        <w:numPr>
          <w:ilvl w:val="0"/>
          <w:numId w:val="1"/>
        </w:num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甲方尚未支付给乙方的所有相关代理费和履约保证金，甲方应按本协议约定的时间按时支付给乙方。</w:t>
      </w:r>
    </w:p>
    <w:p w14:paraId="058FD5F9">
      <w:pPr>
        <w:pStyle w:val="2"/>
        <w:numPr>
          <w:ilvl w:val="-1"/>
          <w:numId w:val="0"/>
        </w:num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val="en-US" w:eastAsia="zh-CN"/>
          <w14:textFill>
            <w14:solidFill>
              <w14:schemeClr w14:val="tx1"/>
            </w14:solidFill>
          </w14:textFill>
        </w:rPr>
      </w:pPr>
    </w:p>
    <w:p w14:paraId="6848960F">
      <w:pPr>
        <w:pStyle w:val="2"/>
        <w:numPr>
          <w:ilvl w:val="0"/>
          <w:numId w:val="1"/>
        </w:numPr>
        <w:spacing w:beforeLines="0" w:afterLines="0" w:line="360" w:lineRule="auto"/>
        <w:ind w:firstLine="480" w:firstLineChars="200"/>
        <w:rPr>
          <w:rFonts w:hint="eastAsia" w:ascii="微软雅黑" w:hAnsi="微软雅黑" w:eastAsia="微软雅黑" w:cs="微软雅黑"/>
          <w:b/>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bCs/>
          <w:color w:val="000000" w:themeColor="text1"/>
          <w:sz w:val="24"/>
          <w:szCs w:val="24"/>
          <w:u w:val="none"/>
          <w:lang w:val="en-US" w:eastAsia="zh-Hans"/>
          <w14:textFill>
            <w14:solidFill>
              <w14:schemeClr w14:val="tx1"/>
            </w14:solidFill>
          </w14:textFill>
        </w:rPr>
        <w:t>免责条款</w:t>
      </w:r>
    </w:p>
    <w:p w14:paraId="6A947F24">
      <w:pPr>
        <w:pStyle w:val="2"/>
        <w:numPr>
          <w:ilvl w:val="-1"/>
          <w:numId w:val="0"/>
        </w:numPr>
        <w:spacing w:beforeLines="0" w:afterLines="0" w:line="360" w:lineRule="auto"/>
        <w:ind w:firstLine="480" w:firstLineChars="200"/>
        <w:rPr>
          <w:rFonts w:hint="eastAsia" w:ascii="微软雅黑" w:hAnsi="微软雅黑" w:eastAsia="微软雅黑" w:cs="微软雅黑"/>
          <w:color w:val="000000" w:themeColor="text1"/>
          <w:sz w:val="24"/>
          <w:szCs w:val="24"/>
          <w:lang w:eastAsia="zh-Hans"/>
          <w14:textFill>
            <w14:solidFill>
              <w14:schemeClr w14:val="tx1"/>
            </w14:solidFill>
          </w14:textFill>
        </w:rPr>
      </w:pPr>
      <w:r>
        <w:rPr>
          <w:rFonts w:hint="eastAsia" w:ascii="微软雅黑" w:hAnsi="微软雅黑" w:eastAsia="微软雅黑" w:cs="微软雅黑"/>
          <w:color w:val="000000" w:themeColor="text1"/>
          <w:sz w:val="24"/>
          <w:szCs w:val="24"/>
          <w:lang w:eastAsia="zh-Hans"/>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5BB68060">
      <w:pPr>
        <w:pStyle w:val="2"/>
        <w:numPr>
          <w:ilvl w:val="-1"/>
          <w:numId w:val="0"/>
        </w:numPr>
        <w:spacing w:beforeLines="0" w:afterLines="0" w:line="360" w:lineRule="auto"/>
        <w:ind w:firstLine="480" w:firstLineChars="200"/>
        <w:rPr>
          <w:rFonts w:hint="eastAsia" w:ascii="微软雅黑" w:hAnsi="微软雅黑" w:eastAsia="微软雅黑" w:cs="微软雅黑"/>
          <w:color w:val="000000" w:themeColor="text1"/>
          <w:sz w:val="24"/>
          <w:szCs w:val="24"/>
          <w:lang w:eastAsia="zh-Hans"/>
          <w14:textFill>
            <w14:solidFill>
              <w14:schemeClr w14:val="tx1"/>
            </w14:solidFill>
          </w14:textFill>
        </w:rPr>
      </w:pPr>
      <w:r>
        <w:rPr>
          <w:rFonts w:hint="eastAsia" w:ascii="微软雅黑" w:hAnsi="微软雅黑" w:eastAsia="微软雅黑" w:cs="微软雅黑"/>
          <w:color w:val="000000" w:themeColor="text1"/>
          <w:sz w:val="24"/>
          <w:szCs w:val="24"/>
          <w:lang w:eastAsia="zh-Hans"/>
          <w14:textFill>
            <w14:solidFill>
              <w14:schemeClr w14:val="tx1"/>
            </w14:solidFill>
          </w14:textFill>
        </w:rPr>
        <w:t>2．当出现双方在订立合同时无法预见的、不属于商业风险的重大变化，双方不能协商变更合同导致合同解除的，双方互不承担违约责任。</w:t>
      </w:r>
    </w:p>
    <w:p w14:paraId="6B70987B">
      <w:pPr>
        <w:pStyle w:val="2"/>
        <w:numPr>
          <w:ilvl w:val="-1"/>
          <w:numId w:val="0"/>
        </w:numPr>
        <w:spacing w:beforeLines="0" w:afterLines="0" w:line="360" w:lineRule="auto"/>
        <w:ind w:firstLine="480" w:firstLineChars="200"/>
        <w:rPr>
          <w:rFonts w:hint="eastAsia" w:ascii="微软雅黑" w:hAnsi="微软雅黑" w:eastAsia="微软雅黑" w:cs="微软雅黑"/>
          <w:color w:val="000000" w:themeColor="text1"/>
          <w:sz w:val="24"/>
          <w:szCs w:val="24"/>
          <w:lang w:eastAsia="zh-Hans"/>
          <w14:textFill>
            <w14:solidFill>
              <w14:schemeClr w14:val="tx1"/>
            </w14:solidFill>
          </w14:textFill>
        </w:rPr>
      </w:pPr>
      <w:r>
        <w:rPr>
          <w:rFonts w:hint="eastAsia" w:ascii="微软雅黑" w:hAnsi="微软雅黑" w:eastAsia="微软雅黑" w:cs="微软雅黑"/>
          <w:color w:val="000000" w:themeColor="text1"/>
          <w:sz w:val="24"/>
          <w:szCs w:val="24"/>
          <w:lang w:eastAsia="zh-Hans"/>
          <w14:textFill>
            <w14:solidFill>
              <w14:schemeClr w14:val="tx1"/>
            </w14:solidFill>
          </w14:textFill>
        </w:rPr>
        <w:t xml:space="preserve">3．因治安管理案件或刑事犯罪案件，包括但不限于故意伤害、爆炸、偷盗、抢劫等导致人身伤害或财产损失的，由行为人承担责任。 </w:t>
      </w:r>
    </w:p>
    <w:p w14:paraId="556C4946">
      <w:pPr>
        <w:pStyle w:val="2"/>
        <w:numPr>
          <w:ilvl w:val="-1"/>
          <w:numId w:val="0"/>
        </w:numPr>
        <w:spacing w:beforeLines="0" w:afterLines="0" w:line="360" w:lineRule="auto"/>
        <w:ind w:firstLine="480" w:firstLineChars="200"/>
        <w:rPr>
          <w:rFonts w:hint="eastAsia" w:ascii="微软雅黑" w:hAnsi="微软雅黑" w:eastAsia="微软雅黑" w:cs="微软雅黑"/>
          <w:color w:val="000000" w:themeColor="text1"/>
          <w:sz w:val="24"/>
          <w:szCs w:val="24"/>
          <w:lang w:val="en-US" w:eastAsia="zh-Hans"/>
          <w14:textFill>
            <w14:solidFill>
              <w14:schemeClr w14:val="tx1"/>
            </w14:solidFill>
          </w14:textFill>
        </w:rPr>
      </w:pPr>
    </w:p>
    <w:p w14:paraId="1252605C">
      <w:pPr>
        <w:numPr>
          <w:ilvl w:val="-1"/>
          <w:numId w:val="0"/>
        </w:num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u w:val="none"/>
          <w:lang w:eastAsia="zh-CN"/>
          <w14:textFill>
            <w14:solidFill>
              <w14:schemeClr w14:val="tx1"/>
            </w14:solidFill>
          </w14:textFill>
        </w:rPr>
        <w:t>蚌埠</w:t>
      </w:r>
      <w:r>
        <w:rPr>
          <w:rFonts w:hint="eastAsia" w:ascii="微软雅黑" w:hAnsi="微软雅黑" w:eastAsia="微软雅黑" w:cs="微软雅黑"/>
          <w:color w:val="000000" w:themeColor="text1"/>
          <w:sz w:val="24"/>
          <w:szCs w:val="24"/>
          <w:u w:val="none"/>
          <w14:textFill>
            <w14:solidFill>
              <w14:schemeClr w14:val="tx1"/>
            </w14:solidFill>
          </w14:textFill>
        </w:rPr>
        <w:t>仲裁委员会，按照该会的仲裁规则进行仲裁。仲裁裁决是终局的，对双方均有约束力。</w:t>
      </w:r>
    </w:p>
    <w:p w14:paraId="1BEE9EC7">
      <w:pPr>
        <w:numPr>
          <w:ilvl w:val="0"/>
          <w:numId w:val="1"/>
        </w:numPr>
        <w:adjustRightInd/>
        <w:snapToGrid/>
        <w:spacing w:beforeLines="0" w:afterLines="0" w:line="360" w:lineRule="auto"/>
        <w:ind w:firstLine="480" w:firstLineChars="200"/>
        <w:jc w:val="both"/>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本协议自甲乙双方签订盖章之日起生效。本协议一式  份，双方各执  份，具有同等的法律效力。</w:t>
      </w:r>
    </w:p>
    <w:p w14:paraId="7580BD26">
      <w:pPr>
        <w:pStyle w:val="2"/>
        <w:numPr>
          <w:ilvl w:val="0"/>
          <w:numId w:val="0"/>
        </w:numPr>
        <w:rPr>
          <w:rFonts w:hint="eastAsia" w:ascii="微软雅黑" w:hAnsi="微软雅黑" w:eastAsia="微软雅黑" w:cs="微软雅黑"/>
          <w:sz w:val="24"/>
          <w:szCs w:val="24"/>
        </w:rPr>
      </w:pPr>
    </w:p>
    <w:p w14:paraId="0B3171EC">
      <w:pPr>
        <w:adjustRightInd w:val="0"/>
        <w:snapToGrid w:val="0"/>
        <w:spacing w:beforeLines="0" w:afterLines="0" w:line="360" w:lineRule="auto"/>
        <w:ind w:firstLine="480" w:firstLineChars="200"/>
        <w:jc w:val="left"/>
        <w:rPr>
          <w:rFonts w:hint="eastAsia" w:ascii="微软雅黑" w:hAnsi="微软雅黑" w:eastAsia="微软雅黑" w:cs="微软雅黑"/>
          <w:b/>
          <w:bCs w:val="0"/>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bCs w:val="0"/>
          <w:color w:val="000000" w:themeColor="text1"/>
          <w:sz w:val="24"/>
          <w:szCs w:val="24"/>
          <w:u w:val="none"/>
          <w:lang w:val="en-US" w:eastAsia="zh-Hans"/>
          <w14:textFill>
            <w14:solidFill>
              <w14:schemeClr w14:val="tx1"/>
            </w14:solidFill>
          </w14:textFill>
        </w:rPr>
        <w:t>八</w:t>
      </w:r>
      <w:r>
        <w:rPr>
          <w:rFonts w:hint="eastAsia" w:ascii="微软雅黑" w:hAnsi="微软雅黑" w:eastAsia="微软雅黑" w:cs="微软雅黑"/>
          <w:b/>
          <w:bCs w:val="0"/>
          <w:color w:val="000000" w:themeColor="text1"/>
          <w:sz w:val="24"/>
          <w:szCs w:val="24"/>
          <w:u w:val="none"/>
          <w:lang w:eastAsia="zh-Hans"/>
          <w14:textFill>
            <w14:solidFill>
              <w14:schemeClr w14:val="tx1"/>
            </w14:solidFill>
          </w14:textFill>
        </w:rPr>
        <w:t>、</w:t>
      </w:r>
      <w:r>
        <w:rPr>
          <w:rFonts w:hint="eastAsia" w:ascii="微软雅黑" w:hAnsi="微软雅黑" w:eastAsia="微软雅黑" w:cs="微软雅黑"/>
          <w:b/>
          <w:bCs w:val="0"/>
          <w:color w:val="000000" w:themeColor="text1"/>
          <w:sz w:val="24"/>
          <w:szCs w:val="24"/>
          <w:u w:val="none"/>
          <w:lang w:val="en-US" w:eastAsia="zh-Hans"/>
          <w14:textFill>
            <w14:solidFill>
              <w14:schemeClr w14:val="tx1"/>
            </w14:solidFill>
          </w14:textFill>
        </w:rPr>
        <w:t>送达地址以及送达条款</w:t>
      </w:r>
    </w:p>
    <w:p w14:paraId="09390AF1">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（1）送达地址以及方式</w:t>
      </w:r>
    </w:p>
    <w:p w14:paraId="1A9E53A9">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送达地址</w:t>
      </w:r>
    </w:p>
    <w:p w14:paraId="0ECF2762">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甲方确认送达地址如下：</w:t>
      </w:r>
    </w:p>
    <w:p w14:paraId="51A374C8">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地址：    省    市    区/县    路    号，</w:t>
      </w:r>
    </w:p>
    <w:p w14:paraId="58177A4C">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邮编：            ，</w:t>
      </w:r>
    </w:p>
    <w:p w14:paraId="658BE2C2">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联系人：      ，</w:t>
      </w:r>
    </w:p>
    <w:p w14:paraId="0E3E49D2">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联系电话：      -            。</w:t>
      </w:r>
    </w:p>
    <w:p w14:paraId="1EAD96EA">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甲方电子送达方式如下：</w:t>
      </w:r>
    </w:p>
    <w:p w14:paraId="3CCA60C6">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 xml:space="preserve">手机短信：                  </w:t>
      </w:r>
    </w:p>
    <w:p w14:paraId="56A1AF8A">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 xml:space="preserve">传真：      -            </w:t>
      </w:r>
    </w:p>
    <w:p w14:paraId="7CCAC60F">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 xml:space="preserve">即时通讯账号（微信号）：                  </w:t>
      </w:r>
    </w:p>
    <w:p w14:paraId="50BB7C64">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电子邮箱：            。</w:t>
      </w:r>
    </w:p>
    <w:p w14:paraId="767E0884">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p>
    <w:p w14:paraId="0551EE3E">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乙方确认送达地址如下：</w:t>
      </w:r>
    </w:p>
    <w:p w14:paraId="3E98DBC6">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地址：    省    市    区/县    路    号，</w:t>
      </w:r>
    </w:p>
    <w:p w14:paraId="6743CFD1">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邮编：            ，</w:t>
      </w:r>
    </w:p>
    <w:p w14:paraId="2339D832">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联系人：      ，</w:t>
      </w:r>
    </w:p>
    <w:p w14:paraId="09CA5178">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联系电话：      -            。</w:t>
      </w:r>
    </w:p>
    <w:p w14:paraId="012B1779">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乙方电子送达方式如下：</w:t>
      </w:r>
    </w:p>
    <w:p w14:paraId="46A26B81">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 xml:space="preserve">手机短信：                  </w:t>
      </w:r>
    </w:p>
    <w:p w14:paraId="495CA391">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 xml:space="preserve">传真：      -            </w:t>
      </w:r>
    </w:p>
    <w:p w14:paraId="178951AE">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 xml:space="preserve">即时通讯账号（微信号）：                  </w:t>
      </w:r>
    </w:p>
    <w:p w14:paraId="77A12E06">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电子邮箱：</w:t>
      </w:r>
    </w:p>
    <w:p w14:paraId="1AF628D4">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送达方式</w:t>
      </w:r>
    </w:p>
    <w:p w14:paraId="15376511">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双方同意，本合同项下的通知、函件、诉讼文书等文件，以下列方式送达对方：</w:t>
      </w:r>
    </w:p>
    <w:p w14:paraId="6A116BAC">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直接送达：将文件送至对方指定的送达地址，视为已送达；</w:t>
      </w:r>
    </w:p>
    <w:p w14:paraId="5C63566D">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邮寄送达：将文件通过挂号信、特快专递等方式寄至对方指定的送达地址，以邮戳日期为准，视为已送达；</w:t>
      </w:r>
    </w:p>
    <w:p w14:paraId="7F396A98">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电子送达：将文件通过电子邮件、短信、微信等方式发送至对方指定的电子邮箱、手机号码等，发送成功即视为已送达。</w:t>
      </w:r>
    </w:p>
    <w:p w14:paraId="6228E069">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（2）送达条款</w:t>
      </w:r>
    </w:p>
    <w:p w14:paraId="0A8BD41A">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本送达条款适用于合同履行期间及合同纠纷解决过程中的所有文件送达。</w:t>
      </w:r>
    </w:p>
    <w:p w14:paraId="185FA7A7">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6932CF7">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双方在合同履行过程中由双方共同明示或默示确认的合同约定外的送达地址和联系方式不影响送达效力。</w:t>
      </w:r>
    </w:p>
    <w:p w14:paraId="4621AAF8">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07E02A31">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31C00E5D">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b w:val="0"/>
          <w:bCs/>
          <w:color w:val="000000" w:themeColor="text1"/>
          <w:sz w:val="24"/>
          <w:szCs w:val="24"/>
          <w:u w:val="none"/>
          <w:lang w:val="en-US" w:eastAsia="zh-CN"/>
          <w14:textFill>
            <w14:solidFill>
              <w14:schemeClr w14:val="tx1"/>
            </w14:solidFill>
          </w14:textFill>
        </w:rPr>
        <w:t>蚌埠</w:t>
      </w: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仲裁委员会有权依据法律和适时有效的仲裁规则规定进行送达，法律与仲裁规则规定程序完成之日，视为送达成功：</w:t>
      </w:r>
    </w:p>
    <w:p w14:paraId="0EA10CBA">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擅自变更送达地址及信息且未及时通知对方的；</w:t>
      </w:r>
    </w:p>
    <w:p w14:paraId="5FD4E03D">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送达地址与信息同工商登记信息不一致且未及时更改的；</w:t>
      </w:r>
    </w:p>
    <w:p w14:paraId="33E66BFC">
      <w:pPr>
        <w:adjustRightInd w:val="0"/>
        <w:snapToGrid w:val="0"/>
        <w:spacing w:beforeLines="0" w:afterLines="0" w:line="360" w:lineRule="auto"/>
        <w:ind w:firstLine="480" w:firstLineChars="200"/>
        <w:jc w:val="left"/>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故意不接收</w:t>
      </w:r>
      <w:r>
        <w:rPr>
          <w:rFonts w:hint="eastAsia" w:ascii="微软雅黑" w:hAnsi="微软雅黑" w:eastAsia="微软雅黑" w:cs="微软雅黑"/>
          <w:b w:val="0"/>
          <w:bCs/>
          <w:color w:val="000000" w:themeColor="text1"/>
          <w:sz w:val="24"/>
          <w:szCs w:val="24"/>
          <w:u w:val="none"/>
          <w:lang w:val="en-US" w:eastAsia="zh-CN"/>
          <w14:textFill>
            <w14:solidFill>
              <w14:schemeClr w14:val="tx1"/>
            </w14:solidFill>
          </w14:textFill>
        </w:rPr>
        <w:t>蚌埠</w:t>
      </w: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仲裁委员会送达文书的；</w:t>
      </w:r>
    </w:p>
    <w:p w14:paraId="7F29F933">
      <w:pPr>
        <w:adjustRightInd w:val="0"/>
        <w:snapToGrid w:val="0"/>
        <w:spacing w:beforeLines="0" w:afterLines="0" w:line="360" w:lineRule="auto"/>
        <w:ind w:firstLine="480" w:firstLineChars="200"/>
        <w:jc w:val="left"/>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b w:val="0"/>
          <w:bCs/>
          <w:color w:val="000000" w:themeColor="text1"/>
          <w:sz w:val="24"/>
          <w:szCs w:val="24"/>
          <w:u w:val="none"/>
          <w:lang w:val="en-US" w:eastAsia="zh-Hans"/>
          <w14:textFill>
            <w14:solidFill>
              <w14:schemeClr w14:val="tx1"/>
            </w14:solidFill>
          </w14:textFill>
        </w:rPr>
        <w:t>因接收方过错造成无法正常送达的其他行为。</w:t>
      </w:r>
    </w:p>
    <w:p w14:paraId="7409258D">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p>
    <w:p w14:paraId="411B9892">
      <w:pPr>
        <w:spacing w:beforeLines="0" w:afterLines="0" w:line="360" w:lineRule="auto"/>
        <w:ind w:firstLine="480" w:firstLineChars="200"/>
        <w:rPr>
          <w:rFonts w:hint="eastAsia" w:ascii="微软雅黑" w:hAnsi="微软雅黑" w:eastAsia="微软雅黑" w:cs="微软雅黑"/>
          <w:color w:val="000000" w:themeColor="text1"/>
          <w:sz w:val="24"/>
          <w:szCs w:val="24"/>
          <w:u w:val="none"/>
          <w14:textFill>
            <w14:solidFill>
              <w14:schemeClr w14:val="tx1"/>
            </w14:solidFill>
          </w14:textFill>
        </w:rPr>
      </w:pPr>
      <w:r>
        <w:rPr>
          <w:rFonts w:hint="eastAsia" w:ascii="微软雅黑" w:hAnsi="微软雅黑" w:eastAsia="微软雅黑" w:cs="微软雅黑"/>
          <w:color w:val="000000" w:themeColor="text1"/>
          <w:sz w:val="24"/>
          <w:szCs w:val="24"/>
          <w:u w:val="none"/>
          <w14:textFill>
            <w14:solidFill>
              <w14:schemeClr w14:val="tx1"/>
            </w14:solidFill>
          </w14:textFill>
        </w:rPr>
        <w:t>（以下无正文）</w:t>
      </w:r>
    </w:p>
    <w:p w14:paraId="17F8CCEB">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pPr>
    </w:p>
    <w:p w14:paraId="1ED727D5">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eastAsia="zh-Hans"/>
          <w14:textFill>
            <w14:solidFill>
              <w14:schemeClr w14:val="tx1"/>
            </w14:solidFill>
          </w14:textFill>
        </w:rPr>
      </w:pP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甲方</w:t>
      </w:r>
      <w:r>
        <w:rPr>
          <w:rFonts w:hint="eastAsia" w:ascii="微软雅黑" w:hAnsi="微软雅黑" w:eastAsia="微软雅黑" w:cs="微软雅黑"/>
          <w:color w:val="000000" w:themeColor="text1"/>
          <w:sz w:val="24"/>
          <w:szCs w:val="24"/>
          <w:u w:val="none"/>
          <w:lang w:eastAsia="zh-Hans"/>
          <w14:textFill>
            <w14:solidFill>
              <w14:schemeClr w14:val="tx1"/>
            </w14:solidFill>
          </w14:textFill>
        </w:rPr>
        <w:t>：</w:t>
      </w:r>
    </w:p>
    <w:p w14:paraId="11A007C2">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eastAsia="zh-Hans"/>
          <w14:textFill>
            <w14:solidFill>
              <w14:schemeClr w14:val="tx1"/>
            </w14:solidFill>
          </w14:textFill>
        </w:rPr>
      </w:pP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法定代表人</w:t>
      </w:r>
      <w:r>
        <w:rPr>
          <w:rFonts w:hint="eastAsia" w:ascii="微软雅黑" w:hAnsi="微软雅黑" w:eastAsia="微软雅黑" w:cs="微软雅黑"/>
          <w:color w:val="000000" w:themeColor="text1"/>
          <w:sz w:val="24"/>
          <w:szCs w:val="24"/>
          <w:u w:val="none"/>
          <w:lang w:eastAsia="zh-Hans"/>
          <w14:textFill>
            <w14:solidFill>
              <w14:schemeClr w14:val="tx1"/>
            </w14:solidFill>
          </w14:textFill>
        </w:rPr>
        <w:t>：</w:t>
      </w:r>
    </w:p>
    <w:p w14:paraId="05DAD22E">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eastAsia="zh-Hans"/>
          <w14:textFill>
            <w14:solidFill>
              <w14:schemeClr w14:val="tx1"/>
            </w14:solidFill>
          </w14:textFill>
        </w:rPr>
      </w:pP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委托代理人</w:t>
      </w:r>
      <w:r>
        <w:rPr>
          <w:rFonts w:hint="eastAsia" w:ascii="微软雅黑" w:hAnsi="微软雅黑" w:eastAsia="微软雅黑" w:cs="微软雅黑"/>
          <w:color w:val="000000" w:themeColor="text1"/>
          <w:sz w:val="24"/>
          <w:szCs w:val="24"/>
          <w:u w:val="none"/>
          <w:lang w:eastAsia="zh-Hans"/>
          <w14:textFill>
            <w14:solidFill>
              <w14:schemeClr w14:val="tx1"/>
            </w14:solidFill>
          </w14:textFill>
        </w:rPr>
        <w:t>：</w:t>
      </w:r>
    </w:p>
    <w:p w14:paraId="09C0BD17">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eastAsia="zh-Hans"/>
          <w14:textFill>
            <w14:solidFill>
              <w14:schemeClr w14:val="tx1"/>
            </w14:solidFill>
          </w14:textFill>
        </w:rPr>
      </w:pPr>
    </w:p>
    <w:p w14:paraId="507F9287">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eastAsia="zh-Hans"/>
          <w14:textFill>
            <w14:solidFill>
              <w14:schemeClr w14:val="tx1"/>
            </w14:solidFill>
          </w14:textFill>
        </w:rPr>
      </w:pP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乙方</w:t>
      </w:r>
      <w:r>
        <w:rPr>
          <w:rFonts w:hint="eastAsia" w:ascii="微软雅黑" w:hAnsi="微软雅黑" w:eastAsia="微软雅黑" w:cs="微软雅黑"/>
          <w:color w:val="000000" w:themeColor="text1"/>
          <w:sz w:val="24"/>
          <w:szCs w:val="24"/>
          <w:u w:val="none"/>
          <w:lang w:eastAsia="zh-Hans"/>
          <w14:textFill>
            <w14:solidFill>
              <w14:schemeClr w14:val="tx1"/>
            </w14:solidFill>
          </w14:textFill>
        </w:rPr>
        <w:t>：</w:t>
      </w:r>
    </w:p>
    <w:p w14:paraId="3D7AFA97">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eastAsia="zh-Hans"/>
          <w14:textFill>
            <w14:solidFill>
              <w14:schemeClr w14:val="tx1"/>
            </w14:solidFill>
          </w14:textFill>
        </w:rPr>
      </w:pP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法定代表人</w:t>
      </w:r>
      <w:r>
        <w:rPr>
          <w:rFonts w:hint="eastAsia" w:ascii="微软雅黑" w:hAnsi="微软雅黑" w:eastAsia="微软雅黑" w:cs="微软雅黑"/>
          <w:color w:val="000000" w:themeColor="text1"/>
          <w:sz w:val="24"/>
          <w:szCs w:val="24"/>
          <w:u w:val="none"/>
          <w:lang w:eastAsia="zh-Hans"/>
          <w14:textFill>
            <w14:solidFill>
              <w14:schemeClr w14:val="tx1"/>
            </w14:solidFill>
          </w14:textFill>
        </w:rPr>
        <w:t>：</w:t>
      </w:r>
    </w:p>
    <w:p w14:paraId="79FEDE79">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委托代理人</w:t>
      </w:r>
      <w:r>
        <w:rPr>
          <w:rFonts w:hint="eastAsia" w:ascii="微软雅黑" w:hAnsi="微软雅黑" w:eastAsia="微软雅黑" w:cs="微软雅黑"/>
          <w:color w:val="000000" w:themeColor="text1"/>
          <w:sz w:val="24"/>
          <w:szCs w:val="24"/>
          <w:u w:val="none"/>
          <w:lang w:eastAsia="zh-Hans"/>
          <w14:textFill>
            <w14:solidFill>
              <w14:schemeClr w14:val="tx1"/>
            </w14:solidFill>
          </w14:textFill>
        </w:rPr>
        <w:t>：</w:t>
      </w:r>
    </w:p>
    <w:p w14:paraId="38C0159D">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pPr>
    </w:p>
    <w:p w14:paraId="7B95648E">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签订时间：</w:t>
      </w:r>
    </w:p>
    <w:p w14:paraId="6CE6C4D6">
      <w:pPr>
        <w:spacing w:beforeLines="0" w:afterLines="0" w:line="360" w:lineRule="auto"/>
        <w:ind w:firstLine="480" w:firstLineChars="200"/>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pPr>
      <w:r>
        <w:rPr>
          <w:rFonts w:hint="eastAsia" w:ascii="微软雅黑" w:hAnsi="微软雅黑" w:eastAsia="微软雅黑" w:cs="微软雅黑"/>
          <w:color w:val="000000" w:themeColor="text1"/>
          <w:sz w:val="24"/>
          <w:szCs w:val="24"/>
          <w:u w:val="none"/>
          <w:lang w:val="en-US" w:eastAsia="zh-Hans"/>
          <w14:textFill>
            <w14:solidFill>
              <w14:schemeClr w14:val="tx1"/>
            </w14:solidFill>
          </w14:textFill>
        </w:rPr>
        <w:t>签订地点：</w:t>
      </w:r>
    </w:p>
    <w:bookmarkEnd w:id="0"/>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aiti SC Regular">
    <w:altName w:val="宋体"/>
    <w:panose1 w:val="02010600040101010101"/>
    <w:charset w:val="86"/>
    <w:family w:val="auto"/>
    <w:pitch w:val="default"/>
    <w:sig w:usb0="00000000" w:usb1="00000000" w:usb2="00000016" w:usb3="00000000" w:csb0="0004001F" w:csb1="00000000"/>
  </w:font>
  <w:font w:name="Kaiti SC Bold">
    <w:altName w:val="宋体"/>
    <w:panose1 w:val="02010600040101010101"/>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79A81">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181218">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6</w:t>
                          </w:r>
                          <w:r>
                            <w:rPr>
                              <w:sz w:val="18"/>
                            </w:rPr>
                            <w:fldChar w:fldCharType="end"/>
                          </w:r>
                          <w:r>
                            <w:rPr>
                              <w:sz w:val="1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0181218">
                    <w:pPr>
                      <w:snapToGrid w:val="0"/>
                      <w:rPr>
                        <w:sz w:val="18"/>
                      </w:rPr>
                    </w:pPr>
                    <w:r>
                      <w:rPr>
                        <w:sz w:val="18"/>
                      </w:rPr>
                      <w:t xml:space="preserve">第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 共 </w:t>
                    </w:r>
                    <w:r>
                      <w:rPr>
                        <w:sz w:val="18"/>
                      </w:rPr>
                      <w:fldChar w:fldCharType="begin"/>
                    </w:r>
                    <w:r>
                      <w:rPr>
                        <w:sz w:val="18"/>
                      </w:rPr>
                      <w:instrText xml:space="preserve"> NUMPAGES  \* MERGEFORMAT </w:instrText>
                    </w:r>
                    <w:r>
                      <w:rPr>
                        <w:sz w:val="18"/>
                      </w:rPr>
                      <w:fldChar w:fldCharType="separate"/>
                    </w:r>
                    <w:r>
                      <w:rPr>
                        <w:sz w:val="18"/>
                      </w:rPr>
                      <w:t>6</w:t>
                    </w:r>
                    <w:r>
                      <w:rPr>
                        <w:sz w:val="18"/>
                      </w:rPr>
                      <w:fldChar w:fldCharType="end"/>
                    </w:r>
                    <w:r>
                      <w:rPr>
                        <w:sz w:val="18"/>
                      </w:rPr>
                      <w:t xml:space="preserve"> 页</w:t>
                    </w:r>
                  </w:p>
                </w:txbxContent>
              </v:textbox>
            </v:shape>
          </w:pict>
        </mc:Fallback>
      </mc:AlternateContent>
    </w:r>
  </w:p>
  <w:p w14:paraId="019984D2">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C461E0"/>
    <w:multiLevelType w:val="singleLevel"/>
    <w:tmpl w:val="61C461E0"/>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7F55D9"/>
    <w:rsid w:val="14BB22B7"/>
    <w:rsid w:val="337F55D9"/>
    <w:rsid w:val="37AD0846"/>
    <w:rsid w:val="5F541D68"/>
    <w:rsid w:val="6FAA3E5B"/>
    <w:rsid w:val="EFDF1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kern w:val="0"/>
      <w:sz w:val="20"/>
      <w:szCs w:val="21"/>
    </w:r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2738</Words>
  <Characters>2772</Characters>
  <Lines>0</Lines>
  <Paragraphs>0</Paragraphs>
  <TotalTime>0</TotalTime>
  <ScaleCrop>false</ScaleCrop>
  <LinksUpToDate>false</LinksUpToDate>
  <CharactersWithSpaces>3145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2021-12-23T21:43:00Z</dcterms:created>
  <dc:creator>lixinchun</dc:creator>
  <cp:lastModifiedBy>豪</cp:lastModifiedBy>
  <dcterms:modified xsi:type="dcterms:W3CDTF">2026-03-22T07:59:10Z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FFE8AC3C80854866BC56C69F0EF74ECA_12</vt:lpwstr>
  </property>
  <property fmtid="{D5CDD505-2E9C-101B-9397-08002B2CF9AE}" pid="4" name="KSOTemplateDocerSaveRecord">
    <vt:lpwstr>eyJoZGlkIjoiNTg0MzMyNGJiMDEzODc5ODNlMGVjODViOWRkZjg1MDgiLCJ1c2VySWQiOiIxMjc2Mzc3NjgxIn0=</vt:lpwstr>
  </property>
</Properties>
</file>