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2E464">
      <w:pPr>
        <w:pStyle w:val="6"/>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高校与企业研发合作开发协议</w:t>
      </w:r>
    </w:p>
    <w:p w14:paraId="74E0A31F">
      <w:pPr>
        <w:wordWrap w:val="0"/>
        <w:spacing w:after="312" w:afterLines="100" w:line="360" w:lineRule="auto"/>
        <w:ind w:firstLine="480" w:firstLineChars="200"/>
        <w:jc w:val="righ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合同编号：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68DED173">
      <w:pPr>
        <w:widowControl/>
        <w:shd w:val="clear" w:color="auto" w:fill="FFFFFF"/>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甲方：</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471605EA">
      <w:pPr>
        <w:widowControl/>
        <w:shd w:val="clear" w:color="auto" w:fill="FFFFFF"/>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注册地址：</w:t>
      </w:r>
      <w:r>
        <w:rPr>
          <w:rFonts w:hint="eastAsia" w:ascii="微软雅黑" w:hAnsi="微软雅黑" w:eastAsia="微软雅黑" w:cs="微软雅黑"/>
          <w:color w:val="000000"/>
          <w:kern w:val="0"/>
          <w:sz w:val="24"/>
          <w:szCs w:val="24"/>
          <w:u w:val="single"/>
        </w:rPr>
        <w:t xml:space="preserve">                                    </w:t>
      </w:r>
    </w:p>
    <w:p w14:paraId="32EDB362">
      <w:pPr>
        <w:widowControl/>
        <w:shd w:val="clear" w:color="auto" w:fill="FFFFFF"/>
        <w:spacing w:line="360" w:lineRule="auto"/>
        <w:ind w:firstLine="480" w:firstLineChars="200"/>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邮编：</w:t>
      </w:r>
      <w:r>
        <w:rPr>
          <w:rFonts w:hint="eastAsia" w:ascii="微软雅黑" w:hAnsi="微软雅黑" w:eastAsia="微软雅黑" w:cs="微软雅黑"/>
          <w:color w:val="000000"/>
          <w:kern w:val="0"/>
          <w:sz w:val="24"/>
          <w:szCs w:val="24"/>
          <w:u w:val="single"/>
        </w:rPr>
        <w:t xml:space="preserve">                                        </w:t>
      </w:r>
    </w:p>
    <w:p w14:paraId="6407741E">
      <w:pPr>
        <w:widowControl/>
        <w:shd w:val="clear" w:color="auto" w:fill="FFFFFF"/>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w:t>
      </w:r>
      <w:r>
        <w:rPr>
          <w:rFonts w:hint="eastAsia" w:ascii="微软雅黑" w:hAnsi="微软雅黑" w:eastAsia="微软雅黑" w:cs="微软雅黑"/>
          <w:color w:val="000000"/>
          <w:kern w:val="0"/>
          <w:sz w:val="24"/>
          <w:szCs w:val="24"/>
          <w:u w:val="single"/>
        </w:rPr>
        <w:t xml:space="preserve">                                  </w:t>
      </w:r>
    </w:p>
    <w:p w14:paraId="0CFE819C">
      <w:pPr>
        <w:widowControl/>
        <w:shd w:val="clear" w:color="auto" w:fill="FFFFFF"/>
        <w:spacing w:after="312" w:afterLines="100"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联系电话：</w:t>
      </w:r>
      <w:r>
        <w:rPr>
          <w:rFonts w:hint="eastAsia" w:ascii="微软雅黑" w:hAnsi="微软雅黑" w:eastAsia="微软雅黑" w:cs="微软雅黑"/>
          <w:color w:val="000000"/>
          <w:kern w:val="0"/>
          <w:sz w:val="24"/>
          <w:szCs w:val="24"/>
          <w:u w:val="single"/>
        </w:rPr>
        <w:t xml:space="preserve">                                    </w:t>
      </w:r>
    </w:p>
    <w:p w14:paraId="1ABF07EE">
      <w:pPr>
        <w:widowControl/>
        <w:shd w:val="clear" w:color="auto" w:fill="FFFFFF"/>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乙方：</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2D9FE92A">
      <w:pPr>
        <w:widowControl/>
        <w:shd w:val="clear" w:color="auto" w:fill="FFFFFF"/>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注册地址：</w:t>
      </w:r>
      <w:r>
        <w:rPr>
          <w:rFonts w:hint="eastAsia" w:ascii="微软雅黑" w:hAnsi="微软雅黑" w:eastAsia="微软雅黑" w:cs="微软雅黑"/>
          <w:color w:val="000000"/>
          <w:kern w:val="0"/>
          <w:sz w:val="24"/>
          <w:szCs w:val="24"/>
          <w:u w:val="single"/>
        </w:rPr>
        <w:t xml:space="preserve">                                    </w:t>
      </w:r>
    </w:p>
    <w:p w14:paraId="6AC0B078">
      <w:pPr>
        <w:widowControl/>
        <w:shd w:val="clear" w:color="auto" w:fill="FFFFFF"/>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邮编：</w:t>
      </w:r>
      <w:r>
        <w:rPr>
          <w:rFonts w:hint="eastAsia" w:ascii="微软雅黑" w:hAnsi="微软雅黑" w:eastAsia="微软雅黑" w:cs="微软雅黑"/>
          <w:color w:val="000000"/>
          <w:kern w:val="0"/>
          <w:sz w:val="24"/>
          <w:szCs w:val="24"/>
          <w:u w:val="single"/>
        </w:rPr>
        <w:t xml:space="preserve">                                        </w:t>
      </w:r>
    </w:p>
    <w:p w14:paraId="7D3EDEFB">
      <w:pPr>
        <w:widowControl/>
        <w:shd w:val="clear" w:color="auto" w:fill="FFFFFF"/>
        <w:spacing w:line="360" w:lineRule="auto"/>
        <w:ind w:firstLine="480" w:firstLineChars="200"/>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统一社会信用代码：</w:t>
      </w:r>
      <w:r>
        <w:rPr>
          <w:rFonts w:hint="eastAsia" w:ascii="微软雅黑" w:hAnsi="微软雅黑" w:eastAsia="微软雅黑" w:cs="微软雅黑"/>
          <w:color w:val="000000"/>
          <w:kern w:val="0"/>
          <w:sz w:val="24"/>
          <w:szCs w:val="24"/>
          <w:u w:val="single"/>
        </w:rPr>
        <w:t xml:space="preserve">                            </w:t>
      </w:r>
    </w:p>
    <w:p w14:paraId="6FFD38E5">
      <w:pPr>
        <w:widowControl/>
        <w:shd w:val="clear" w:color="auto" w:fill="FFFFFF"/>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w:t>
      </w:r>
      <w:r>
        <w:rPr>
          <w:rFonts w:hint="eastAsia" w:ascii="微软雅黑" w:hAnsi="微软雅黑" w:eastAsia="微软雅黑" w:cs="微软雅黑"/>
          <w:color w:val="000000"/>
          <w:kern w:val="0"/>
          <w:sz w:val="24"/>
          <w:szCs w:val="24"/>
          <w:u w:val="single"/>
        </w:rPr>
        <w:t xml:space="preserve">                                  </w:t>
      </w:r>
    </w:p>
    <w:p w14:paraId="607C90D1">
      <w:pPr>
        <w:widowControl/>
        <w:shd w:val="clear" w:color="auto" w:fill="FFFFFF"/>
        <w:spacing w:after="312" w:afterLines="100"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联系电话：</w:t>
      </w:r>
      <w:r>
        <w:rPr>
          <w:rFonts w:hint="eastAsia" w:ascii="微软雅黑" w:hAnsi="微软雅黑" w:eastAsia="微软雅黑" w:cs="微软雅黑"/>
          <w:color w:val="000000"/>
          <w:kern w:val="0"/>
          <w:sz w:val="24"/>
          <w:szCs w:val="24"/>
          <w:u w:val="single"/>
        </w:rPr>
        <w:t xml:space="preserve">                                    </w:t>
      </w:r>
    </w:p>
    <w:p w14:paraId="25CC83DC">
      <w:pPr>
        <w:pStyle w:val="18"/>
        <w:spacing w:after="312" w:afterLines="100"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鉴于甲方为在</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领域具有国内领先的学术与研究水平、并取得丰硕成果的高等学府，乙方为具有生产合法资质和生产条件、并在科技成果转化方面取得一定成效的现代化企业；甲乙双方经友好沟通，在加快推进</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的产业化方面形成共识，就合作开发达成一致，签署本协议，以资共同遵守。</w:t>
      </w:r>
    </w:p>
    <w:p w14:paraId="31EB51E9">
      <w:pPr>
        <w:pStyle w:val="18"/>
        <w:spacing w:line="360" w:lineRule="auto"/>
        <w:ind w:firstLine="480" w:firstLineChars="200"/>
        <w:outlineLvl w:val="0"/>
        <w:rPr>
          <w:rFonts w:hint="eastAsia" w:ascii="微软雅黑" w:hAnsi="微软雅黑" w:eastAsia="微软雅黑" w:cs="微软雅黑"/>
          <w:b/>
          <w:bCs/>
          <w:color w:val="000000"/>
          <w:sz w:val="24"/>
          <w:szCs w:val="24"/>
        </w:rPr>
      </w:pPr>
      <w:r>
        <w:rPr>
          <w:rStyle w:val="17"/>
          <w:rFonts w:hint="eastAsia" w:ascii="微软雅黑" w:hAnsi="微软雅黑" w:eastAsia="微软雅黑" w:cs="微软雅黑"/>
          <w:b/>
          <w:bCs/>
          <w:color w:val="000000"/>
          <w:sz w:val="24"/>
          <w:szCs w:val="24"/>
        </w:rPr>
        <w:t>第一条  合作内容</w:t>
      </w:r>
    </w:p>
    <w:p w14:paraId="2BB219F5">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合作开展</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技术开发，包括</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w:t>
      </w:r>
    </w:p>
    <w:p w14:paraId="6A9A9C53">
      <w:pPr>
        <w:pStyle w:val="18"/>
        <w:spacing w:line="360" w:lineRule="auto"/>
        <w:ind w:firstLine="480" w:firstLineChars="200"/>
        <w:outlineLvl w:val="0"/>
        <w:rPr>
          <w:rStyle w:val="17"/>
          <w:rFonts w:hint="eastAsia" w:ascii="微软雅黑" w:hAnsi="微软雅黑" w:eastAsia="微软雅黑" w:cs="微软雅黑"/>
          <w:b/>
          <w:bCs/>
          <w:color w:val="000000"/>
          <w:sz w:val="24"/>
          <w:szCs w:val="24"/>
        </w:rPr>
      </w:pPr>
      <w:r>
        <w:rPr>
          <w:rStyle w:val="17"/>
          <w:rFonts w:hint="eastAsia" w:ascii="微软雅黑" w:hAnsi="微软雅黑" w:eastAsia="微软雅黑" w:cs="微软雅黑"/>
          <w:b/>
          <w:bCs/>
          <w:color w:val="000000"/>
          <w:sz w:val="24"/>
          <w:szCs w:val="24"/>
        </w:rPr>
        <w:t>第二条  时间与经费</w:t>
      </w:r>
    </w:p>
    <w:p w14:paraId="486C1191">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1、本协议合作时间暂定为</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年，合同期限从</w:t>
      </w:r>
      <w:r>
        <w:rPr>
          <w:rStyle w:val="17"/>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年</w:t>
      </w:r>
      <w:r>
        <w:rPr>
          <w:rStyle w:val="17"/>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月</w:t>
      </w:r>
      <w:r>
        <w:rPr>
          <w:rStyle w:val="17"/>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日至</w:t>
      </w:r>
      <w:r>
        <w:rPr>
          <w:rStyle w:val="17"/>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年</w:t>
      </w:r>
      <w:r>
        <w:rPr>
          <w:rStyle w:val="17"/>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月</w:t>
      </w:r>
      <w:r>
        <w:rPr>
          <w:rStyle w:val="17"/>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日止。期间乙方根据每个项目向甲方提供相应的研发经费，用于产品研发及相关技术支持工作，具体项目进度及经费支付方式详见附件一。</w:t>
      </w:r>
    </w:p>
    <w:p w14:paraId="74EAB35A">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2、本协议期满后，双方可根据需要另行商订新的合作协议。</w:t>
      </w:r>
    </w:p>
    <w:p w14:paraId="6AEF6F11">
      <w:pPr>
        <w:pStyle w:val="18"/>
        <w:spacing w:line="360" w:lineRule="auto"/>
        <w:ind w:firstLine="480" w:firstLineChars="200"/>
        <w:outlineLvl w:val="0"/>
        <w:rPr>
          <w:rFonts w:hint="eastAsia" w:ascii="微软雅黑" w:hAnsi="微软雅黑" w:eastAsia="微软雅黑" w:cs="微软雅黑"/>
          <w:b/>
          <w:bCs/>
          <w:color w:val="000000"/>
          <w:sz w:val="24"/>
          <w:szCs w:val="24"/>
        </w:rPr>
      </w:pPr>
      <w:r>
        <w:rPr>
          <w:rStyle w:val="17"/>
          <w:rFonts w:hint="eastAsia" w:ascii="微软雅黑" w:hAnsi="微软雅黑" w:eastAsia="微软雅黑" w:cs="微软雅黑"/>
          <w:b/>
          <w:bCs/>
          <w:color w:val="000000"/>
          <w:sz w:val="24"/>
          <w:szCs w:val="24"/>
        </w:rPr>
        <w:t>第三条  双方职责与义务</w:t>
      </w:r>
    </w:p>
    <w:p w14:paraId="7E84C440">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1、甲方职责与义务</w:t>
      </w:r>
    </w:p>
    <w:p w14:paraId="4669CCCD">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（1）负责</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材料的基础研究工作，如</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等，并形成技术资料，使其具有</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的基本条件。</w:t>
      </w:r>
    </w:p>
    <w:p w14:paraId="63E2B08F">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（2）负责实验室小生产与检验的技术开发和培训，如</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等，并培训乙方技术人员，使乙方掌握相关技术，以具备相应的生产和检验能力。</w:t>
      </w:r>
    </w:p>
    <w:p w14:paraId="0A9C40DC">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（3）对产品的生产技术和材料特性进行持续的改进研究，以保持双方合作开发的产品在技术和材料方面的领先地位。</w:t>
      </w:r>
    </w:p>
    <w:p w14:paraId="2770E268">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2、乙方职责与义务</w:t>
      </w:r>
    </w:p>
    <w:p w14:paraId="30AA893F">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（1）按本协议约定的要求向甲方提供合作研发经费。</w:t>
      </w:r>
    </w:p>
    <w:p w14:paraId="19600B15">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（2）负责建立产品的生产质量管理体系，包括场地、生产与检验设施设备、人员等</w:t>
      </w:r>
      <w:r>
        <w:rPr>
          <w:rStyle w:val="17"/>
          <w:rFonts w:hint="eastAsia" w:ascii="微软雅黑" w:hAnsi="微软雅黑" w:eastAsia="微软雅黑" w:cs="微软雅黑"/>
          <w:color w:val="000000"/>
          <w:sz w:val="24"/>
          <w:szCs w:val="24"/>
        </w:rPr>
        <w:t>；</w:t>
      </w:r>
      <w:r>
        <w:rPr>
          <w:rStyle w:val="17"/>
          <w:rFonts w:hint="eastAsia" w:ascii="微软雅黑" w:hAnsi="微软雅黑" w:eastAsia="微软雅黑" w:cs="微软雅黑"/>
          <w:color w:val="000000"/>
          <w:sz w:val="24"/>
          <w:szCs w:val="24"/>
        </w:rPr>
        <w:t>形成产品的生产和质量控制能力，组织实施产品生产。</w:t>
      </w:r>
    </w:p>
    <w:p w14:paraId="1495EC43">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（3）负责产品的营销策划，执行营销管理，组建销售和市场推广队伍，实现产品的产业化。</w:t>
      </w:r>
    </w:p>
    <w:p w14:paraId="569592B1">
      <w:pPr>
        <w:pStyle w:val="18"/>
        <w:spacing w:line="360" w:lineRule="auto"/>
        <w:ind w:firstLine="480" w:firstLineChars="200"/>
        <w:outlineLvl w:val="0"/>
        <w:rPr>
          <w:rFonts w:hint="eastAsia" w:ascii="微软雅黑" w:hAnsi="微软雅黑" w:eastAsia="微软雅黑" w:cs="微软雅黑"/>
          <w:b/>
          <w:bCs/>
          <w:color w:val="000000"/>
          <w:sz w:val="24"/>
          <w:szCs w:val="24"/>
        </w:rPr>
      </w:pPr>
      <w:r>
        <w:rPr>
          <w:rStyle w:val="17"/>
          <w:rFonts w:hint="eastAsia" w:ascii="微软雅黑" w:hAnsi="微软雅黑" w:eastAsia="微软雅黑" w:cs="微软雅黑"/>
          <w:b/>
          <w:bCs/>
          <w:color w:val="000000"/>
          <w:sz w:val="24"/>
          <w:szCs w:val="24"/>
        </w:rPr>
        <w:t>第四条  知识产权</w:t>
      </w:r>
    </w:p>
    <w:p w14:paraId="43296DA9">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1、合作前双方已有的知识产权归各自所有。</w:t>
      </w:r>
    </w:p>
    <w:p w14:paraId="2760D2AC">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2、合作过程中新产生的所有技术秘密及专利归甲乙双方共同拥有，双方均有单独或共同使用的权利</w:t>
      </w:r>
      <w:r>
        <w:rPr>
          <w:rStyle w:val="17"/>
          <w:rFonts w:hint="eastAsia" w:ascii="微软雅黑" w:hAnsi="微软雅黑" w:eastAsia="微软雅黑" w:cs="微软雅黑"/>
          <w:color w:val="000000"/>
          <w:sz w:val="24"/>
          <w:szCs w:val="24"/>
        </w:rPr>
        <w:t>；</w:t>
      </w:r>
      <w:r>
        <w:rPr>
          <w:rStyle w:val="17"/>
          <w:rFonts w:hint="eastAsia" w:ascii="微软雅黑" w:hAnsi="微软雅黑" w:eastAsia="微软雅黑" w:cs="微软雅黑"/>
          <w:color w:val="000000"/>
          <w:sz w:val="24"/>
          <w:szCs w:val="24"/>
        </w:rPr>
        <w:t>未经对方书面同意，任何一方不能将共有技术及专利擅自转让、许可或与第三方合作使用。</w:t>
      </w:r>
    </w:p>
    <w:p w14:paraId="487EE800">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3、双方合作过程中涉及和了解到的所有技术秘密，不得向外泄密或转让。</w:t>
      </w:r>
    </w:p>
    <w:p w14:paraId="479727D5">
      <w:pPr>
        <w:pStyle w:val="18"/>
        <w:spacing w:line="360" w:lineRule="auto"/>
        <w:ind w:firstLine="480" w:firstLineChars="200"/>
        <w:rPr>
          <w:rStyle w:val="17"/>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4、根据国家对高科技项目及产学研结合的鼓励与扶持政策，双方联合申报国家与地方政府的相关基金。由甲方牵头申报的，国家和地方政府下拨资金的</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%归甲方，</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%归乙方</w:t>
      </w:r>
      <w:r>
        <w:rPr>
          <w:rStyle w:val="17"/>
          <w:rFonts w:hint="eastAsia" w:ascii="微软雅黑" w:hAnsi="微软雅黑" w:eastAsia="微软雅黑" w:cs="微软雅黑"/>
          <w:color w:val="000000"/>
          <w:sz w:val="24"/>
          <w:szCs w:val="24"/>
        </w:rPr>
        <w:t>；</w:t>
      </w:r>
      <w:r>
        <w:rPr>
          <w:rStyle w:val="17"/>
          <w:rFonts w:hint="eastAsia" w:ascii="微软雅黑" w:hAnsi="微软雅黑" w:eastAsia="微软雅黑" w:cs="微软雅黑"/>
          <w:color w:val="000000"/>
          <w:sz w:val="24"/>
          <w:szCs w:val="24"/>
        </w:rPr>
        <w:t>由乙方牵头申报的，资金的</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%归乙方，</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%归甲方，具体支付时间为，甲方取得相关资金后</w:t>
      </w:r>
      <w:r>
        <w:rPr>
          <w:rStyle w:val="17"/>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日内以转账方式支付乙方。</w:t>
      </w:r>
    </w:p>
    <w:p w14:paraId="0CDFFC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乙方户名：</w:t>
      </w:r>
      <w:r>
        <w:rPr>
          <w:rFonts w:hint="eastAsia" w:ascii="微软雅黑" w:hAnsi="微软雅黑" w:eastAsia="微软雅黑" w:cs="微软雅黑"/>
          <w:sz w:val="24"/>
          <w:szCs w:val="24"/>
          <w:u w:val="single"/>
        </w:rPr>
        <w:t xml:space="preserve">                        </w:t>
      </w:r>
    </w:p>
    <w:p w14:paraId="07E3F0F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开户银行：</w:t>
      </w:r>
      <w:r>
        <w:rPr>
          <w:rFonts w:hint="eastAsia" w:ascii="微软雅黑" w:hAnsi="微软雅黑" w:eastAsia="微软雅黑" w:cs="微软雅黑"/>
          <w:sz w:val="24"/>
          <w:szCs w:val="24"/>
          <w:u w:val="single"/>
        </w:rPr>
        <w:t xml:space="preserve">                        </w:t>
      </w:r>
    </w:p>
    <w:p w14:paraId="4E9EED05">
      <w:pPr>
        <w:spacing w:line="360" w:lineRule="auto"/>
        <w:ind w:firstLine="480" w:firstLineChars="200"/>
        <w:rPr>
          <w:rStyle w:val="17"/>
          <w:rFonts w:hint="eastAsia" w:ascii="微软雅黑" w:hAnsi="微软雅黑" w:eastAsia="微软雅黑" w:cs="微软雅黑"/>
          <w:sz w:val="24"/>
          <w:szCs w:val="24"/>
        </w:rPr>
      </w:pPr>
      <w:r>
        <w:rPr>
          <w:rFonts w:hint="eastAsia" w:ascii="微软雅黑" w:hAnsi="微软雅黑" w:eastAsia="微软雅黑" w:cs="微软雅黑"/>
          <w:sz w:val="24"/>
          <w:szCs w:val="24"/>
        </w:rPr>
        <w:t>银行账号：</w:t>
      </w:r>
      <w:r>
        <w:rPr>
          <w:rFonts w:hint="eastAsia" w:ascii="微软雅黑" w:hAnsi="微软雅黑" w:eastAsia="微软雅黑" w:cs="微软雅黑"/>
          <w:sz w:val="24"/>
          <w:szCs w:val="24"/>
          <w:u w:val="single"/>
        </w:rPr>
        <w:t xml:space="preserve">                        </w:t>
      </w:r>
    </w:p>
    <w:p w14:paraId="41F7BDBF">
      <w:pPr>
        <w:pStyle w:val="18"/>
        <w:spacing w:line="360" w:lineRule="auto"/>
        <w:ind w:firstLine="480" w:firstLineChars="200"/>
        <w:outlineLvl w:val="0"/>
        <w:rPr>
          <w:rFonts w:hint="eastAsia" w:ascii="微软雅黑" w:hAnsi="微软雅黑" w:eastAsia="微软雅黑" w:cs="微软雅黑"/>
          <w:b/>
          <w:bCs/>
          <w:color w:val="000000"/>
          <w:sz w:val="24"/>
          <w:szCs w:val="24"/>
        </w:rPr>
      </w:pPr>
      <w:r>
        <w:rPr>
          <w:rStyle w:val="17"/>
          <w:rFonts w:hint="eastAsia" w:ascii="微软雅黑" w:hAnsi="微软雅黑" w:eastAsia="微软雅黑" w:cs="微软雅黑"/>
          <w:b/>
          <w:bCs/>
          <w:color w:val="000000"/>
          <w:sz w:val="24"/>
          <w:szCs w:val="24"/>
        </w:rPr>
        <w:t>第五条  市场利益</w:t>
      </w:r>
    </w:p>
    <w:p w14:paraId="58371590">
      <w:pPr>
        <w:pStyle w:val="18"/>
        <w:spacing w:line="360" w:lineRule="auto"/>
        <w:ind w:firstLine="480" w:firstLineChars="200"/>
        <w:rPr>
          <w:rStyle w:val="17"/>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乙方自产品上市之日起，提取该产品实际销售额的</w:t>
      </w:r>
      <w:r>
        <w:rPr>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%，作为甲方的收益，具体销售核查方式及价款的支付详见附件二。</w:t>
      </w:r>
    </w:p>
    <w:p w14:paraId="54431299">
      <w:pPr>
        <w:pStyle w:val="18"/>
        <w:spacing w:line="360" w:lineRule="auto"/>
        <w:ind w:firstLine="480" w:firstLineChars="200"/>
        <w:outlineLvl w:val="0"/>
        <w:rPr>
          <w:rFonts w:hint="eastAsia" w:ascii="微软雅黑" w:hAnsi="微软雅黑" w:eastAsia="微软雅黑" w:cs="微软雅黑"/>
          <w:b/>
          <w:bCs/>
          <w:color w:val="000000"/>
          <w:sz w:val="24"/>
          <w:szCs w:val="24"/>
        </w:rPr>
      </w:pPr>
      <w:r>
        <w:rPr>
          <w:rStyle w:val="17"/>
          <w:rFonts w:hint="eastAsia" w:ascii="微软雅黑" w:hAnsi="微软雅黑" w:eastAsia="微软雅黑" w:cs="微软雅黑"/>
          <w:b/>
          <w:bCs/>
          <w:color w:val="000000"/>
          <w:sz w:val="24"/>
          <w:szCs w:val="24"/>
        </w:rPr>
        <w:t>第六条  约定事项</w:t>
      </w:r>
    </w:p>
    <w:p w14:paraId="2C2D56E4">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1、双方合作开发产品时，应共同进行技术与市场评估，商定工作进程，制定工作进度表，并及时沟通，以便按时推进各项工作的落实（详见附件一）。</w:t>
      </w:r>
    </w:p>
    <w:p w14:paraId="626B4477">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2、无论共有或双方各自拥有的专利，已使用于双方合作开发产品的，不得再独家许可或独家转让给第三方使用。</w:t>
      </w:r>
    </w:p>
    <w:p w14:paraId="482E68B0">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3、甲方提供的技术及开发的产品，应不涉及侵犯他人知识产权。</w:t>
      </w:r>
    </w:p>
    <w:p w14:paraId="37731183">
      <w:pPr>
        <w:pStyle w:val="18"/>
        <w:spacing w:line="360" w:lineRule="auto"/>
        <w:ind w:firstLine="480" w:firstLineChars="200"/>
        <w:rPr>
          <w:rStyle w:val="17"/>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4、本协议执行过程中，任何一方如有违约，对方可要求修订或终止本协议</w:t>
      </w:r>
      <w:r>
        <w:rPr>
          <w:rStyle w:val="17"/>
          <w:rFonts w:hint="eastAsia" w:ascii="微软雅黑" w:hAnsi="微软雅黑" w:eastAsia="微软雅黑" w:cs="微软雅黑"/>
          <w:color w:val="000000"/>
          <w:sz w:val="24"/>
          <w:szCs w:val="24"/>
        </w:rPr>
        <w:t>；</w:t>
      </w:r>
      <w:r>
        <w:rPr>
          <w:rStyle w:val="17"/>
          <w:rFonts w:hint="eastAsia" w:ascii="微软雅黑" w:hAnsi="微软雅黑" w:eastAsia="微软雅黑" w:cs="微软雅黑"/>
          <w:color w:val="000000"/>
          <w:sz w:val="24"/>
          <w:szCs w:val="24"/>
        </w:rPr>
        <w:t>违约方应赔偿对方相关损失。</w:t>
      </w:r>
    </w:p>
    <w:p w14:paraId="5473A5CE">
      <w:pPr>
        <w:pStyle w:val="18"/>
        <w:spacing w:line="360" w:lineRule="auto"/>
        <w:ind w:firstLine="480" w:firstLineChars="200"/>
        <w:outlineLvl w:val="0"/>
        <w:rPr>
          <w:rStyle w:val="17"/>
          <w:rFonts w:hint="eastAsia" w:ascii="微软雅黑" w:hAnsi="微软雅黑" w:eastAsia="微软雅黑" w:cs="微软雅黑"/>
          <w:b/>
          <w:bCs/>
          <w:color w:val="000000"/>
          <w:sz w:val="24"/>
          <w:szCs w:val="24"/>
        </w:rPr>
      </w:pPr>
      <w:r>
        <w:rPr>
          <w:rStyle w:val="17"/>
          <w:rFonts w:hint="eastAsia" w:ascii="微软雅黑" w:hAnsi="微软雅黑" w:eastAsia="微软雅黑" w:cs="微软雅黑"/>
          <w:b/>
          <w:bCs/>
          <w:color w:val="000000"/>
          <w:sz w:val="24"/>
          <w:szCs w:val="24"/>
        </w:rPr>
        <w:t>第七条  违约责任</w:t>
      </w:r>
    </w:p>
    <w:p w14:paraId="73ACBA28">
      <w:pPr>
        <w:pStyle w:val="18"/>
        <w:spacing w:line="360" w:lineRule="auto"/>
        <w:ind w:firstLine="480" w:firstLineChars="200"/>
        <w:rPr>
          <w:rStyle w:val="17"/>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1、甲方应按本协议第三条第一款规定如实履行义务，并按每月第</w:t>
      </w:r>
      <w:r>
        <w:rPr>
          <w:rStyle w:val="17"/>
          <w:rFonts w:hint="eastAsia" w:ascii="微软雅黑" w:hAnsi="微软雅黑" w:eastAsia="微软雅黑" w:cs="微软雅黑"/>
          <w:color w:val="000000"/>
          <w:sz w:val="24"/>
          <w:szCs w:val="24"/>
          <w:u w:val="single"/>
        </w:rPr>
        <w:t xml:space="preserve">    </w:t>
      </w:r>
      <w:r>
        <w:rPr>
          <w:rStyle w:val="17"/>
          <w:rFonts w:hint="eastAsia" w:ascii="微软雅黑" w:hAnsi="微软雅黑" w:eastAsia="微软雅黑" w:cs="微软雅黑"/>
          <w:color w:val="000000"/>
          <w:sz w:val="24"/>
          <w:szCs w:val="24"/>
        </w:rPr>
        <w:t>个工作日，向乙方报告工作进度，因甲方无故不履行协议的，乙方有权终止本合同。</w:t>
      </w:r>
    </w:p>
    <w:p w14:paraId="446E8711">
      <w:pPr>
        <w:pStyle w:val="18"/>
        <w:spacing w:line="360" w:lineRule="auto"/>
        <w:ind w:firstLine="480" w:firstLineChars="200"/>
        <w:rPr>
          <w:rStyle w:val="17"/>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2、乙方应按时足额支付相关的经费，因乙方不按时给付经费，造成甲方无法继续履行合同的，甲方须书面通知乙方；因乙方造成履行迟延的，甲方不因此而承担责任，后果由乙方自行承担，经甲方两次书面催告乙方仍不履行的，乙方有权解除合同。</w:t>
      </w:r>
    </w:p>
    <w:p w14:paraId="5F407ECD">
      <w:pPr>
        <w:pStyle w:val="18"/>
        <w:spacing w:line="360" w:lineRule="auto"/>
        <w:ind w:firstLine="480" w:firstLineChars="200"/>
        <w:outlineLvl w:val="0"/>
        <w:rPr>
          <w:rStyle w:val="17"/>
          <w:rFonts w:hint="eastAsia" w:ascii="微软雅黑" w:hAnsi="微软雅黑" w:eastAsia="微软雅黑" w:cs="微软雅黑"/>
          <w:b/>
          <w:bCs/>
          <w:color w:val="000000"/>
          <w:sz w:val="24"/>
          <w:szCs w:val="24"/>
        </w:rPr>
      </w:pPr>
      <w:r>
        <w:rPr>
          <w:rStyle w:val="17"/>
          <w:rFonts w:hint="eastAsia" w:ascii="微软雅黑" w:hAnsi="微软雅黑" w:eastAsia="微软雅黑" w:cs="微软雅黑"/>
          <w:b/>
          <w:bCs/>
          <w:color w:val="000000"/>
          <w:sz w:val="24"/>
          <w:szCs w:val="24"/>
        </w:rPr>
        <w:t>第八条  合同的生效和终止</w:t>
      </w:r>
    </w:p>
    <w:p w14:paraId="484D6054">
      <w:pPr>
        <w:pStyle w:val="18"/>
        <w:spacing w:line="360" w:lineRule="auto"/>
        <w:ind w:firstLine="480" w:firstLineChars="200"/>
        <w:rPr>
          <w:rStyle w:val="17"/>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合同自双方签字盖章后生效，合同到期后终止。</w:t>
      </w:r>
    </w:p>
    <w:p w14:paraId="5B7558E5">
      <w:pPr>
        <w:tabs>
          <w:tab w:val="left" w:pos="630"/>
        </w:tabs>
        <w:spacing w:line="360" w:lineRule="auto"/>
        <w:ind w:firstLine="480" w:firstLineChars="200"/>
        <w:outlineLvl w:val="0"/>
        <w:rPr>
          <w:rStyle w:val="17"/>
          <w:rFonts w:hint="eastAsia" w:ascii="微软雅黑" w:hAnsi="微软雅黑" w:eastAsia="微软雅黑" w:cs="微软雅黑"/>
          <w:b/>
          <w:bCs/>
          <w:color w:val="000000"/>
          <w:kern w:val="0"/>
          <w:sz w:val="24"/>
          <w:szCs w:val="24"/>
          <w:lang w:val="en-US" w:eastAsia="zh-CN" w:bidi="ar-SA"/>
        </w:rPr>
      </w:pPr>
      <w:r>
        <w:rPr>
          <w:rStyle w:val="17"/>
          <w:rFonts w:hint="eastAsia" w:ascii="微软雅黑" w:hAnsi="微软雅黑" w:eastAsia="微软雅黑" w:cs="微软雅黑"/>
          <w:b/>
          <w:bCs/>
          <w:color w:val="000000"/>
          <w:kern w:val="0"/>
          <w:sz w:val="24"/>
          <w:szCs w:val="24"/>
          <w:lang w:val="en-US" w:eastAsia="zh-CN" w:bidi="ar-SA"/>
        </w:rPr>
        <w:t>第九条  争议处理</w:t>
      </w:r>
    </w:p>
    <w:p w14:paraId="6558B914">
      <w:pPr>
        <w:pStyle w:val="18"/>
        <w:spacing w:line="360" w:lineRule="auto"/>
        <w:ind w:firstLine="480" w:firstLineChars="200"/>
        <w:rPr>
          <w:rStyle w:val="17"/>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lang w:val="en-US" w:eastAsia="zh-CN"/>
        </w:rPr>
        <w:t>凡因本合同引起的或与本合同有关的任何争议，均提交蚌埠仲裁委员会，按照该会的仲裁规则进行仲裁。仲裁裁决是终局的，对双方均有约束力。</w:t>
      </w:r>
    </w:p>
    <w:p w14:paraId="49137699">
      <w:pPr>
        <w:pStyle w:val="18"/>
        <w:numPr>
          <w:ilvl w:val="0"/>
          <w:numId w:val="0"/>
        </w:numPr>
        <w:spacing w:line="360" w:lineRule="auto"/>
        <w:ind w:firstLine="480" w:firstLineChars="200"/>
        <w:outlineLvl w:val="0"/>
        <w:rPr>
          <w:rFonts w:hint="eastAsia" w:ascii="微软雅黑" w:hAnsi="微软雅黑" w:eastAsia="微软雅黑" w:cs="微软雅黑"/>
          <w:b/>
          <w:bCs/>
          <w:color w:val="000000"/>
          <w:kern w:val="0"/>
          <w:sz w:val="24"/>
          <w:szCs w:val="24"/>
          <w:lang w:val="en-US" w:eastAsia="zh-CN" w:bidi="ar-SA"/>
        </w:rPr>
      </w:pPr>
      <w:r>
        <w:rPr>
          <w:rFonts w:hint="eastAsia" w:ascii="微软雅黑" w:hAnsi="微软雅黑" w:eastAsia="微软雅黑" w:cs="微软雅黑"/>
          <w:b/>
          <w:bCs/>
          <w:color w:val="000000"/>
          <w:kern w:val="0"/>
          <w:sz w:val="24"/>
          <w:szCs w:val="24"/>
          <w:lang w:val="en-US" w:eastAsia="zh-CN" w:bidi="ar-SA"/>
        </w:rPr>
        <w:t>第十条  送达地址以及送达条款：</w:t>
      </w:r>
    </w:p>
    <w:p w14:paraId="283A4CA5">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1.送达地址以及方式</w:t>
      </w:r>
    </w:p>
    <w:p w14:paraId="1577249C">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送达地址</w:t>
      </w:r>
    </w:p>
    <w:p w14:paraId="79BEA1FC">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甲方确认送达地址如下：</w:t>
      </w:r>
    </w:p>
    <w:p w14:paraId="75073EB3">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地址：    省    市    区/县    路    号，</w:t>
      </w:r>
    </w:p>
    <w:p w14:paraId="18F8BB97">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邮编：            ，</w:t>
      </w:r>
    </w:p>
    <w:p w14:paraId="4AC45E55">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联系人：      ，</w:t>
      </w:r>
    </w:p>
    <w:p w14:paraId="4F4D1457">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联系电话：      -            。</w:t>
      </w:r>
    </w:p>
    <w:p w14:paraId="7296F89C">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甲方电子送达方式如下：</w:t>
      </w:r>
    </w:p>
    <w:p w14:paraId="7EDBAA0C">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 xml:space="preserve">手机短信：                  </w:t>
      </w:r>
    </w:p>
    <w:p w14:paraId="18645739">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 xml:space="preserve">传真：      -            </w:t>
      </w:r>
    </w:p>
    <w:p w14:paraId="22141F44">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 xml:space="preserve">即时通讯账号（微信号）：                  </w:t>
      </w:r>
    </w:p>
    <w:p w14:paraId="2310282A">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电子邮箱：            。</w:t>
      </w:r>
    </w:p>
    <w:p w14:paraId="34D1FC33">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乙方确认送达地址如下：</w:t>
      </w:r>
    </w:p>
    <w:p w14:paraId="70795ACB">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地址：    省    市    区/县    路    号，</w:t>
      </w:r>
    </w:p>
    <w:p w14:paraId="25CFDCCB">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邮编：            ，</w:t>
      </w:r>
    </w:p>
    <w:p w14:paraId="1469BD30">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联系人：      ，</w:t>
      </w:r>
    </w:p>
    <w:p w14:paraId="0683E2DC">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联系电话：      -            。</w:t>
      </w:r>
    </w:p>
    <w:p w14:paraId="5B28BB3D">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乙方电子送达方式如下：</w:t>
      </w:r>
    </w:p>
    <w:p w14:paraId="16CC7305">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 xml:space="preserve">手机短信：                  </w:t>
      </w:r>
    </w:p>
    <w:p w14:paraId="34D79A80">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 xml:space="preserve">传真：      -            </w:t>
      </w:r>
    </w:p>
    <w:p w14:paraId="1032EAA8">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 xml:space="preserve">即时通讯账号（微信号）：                  </w:t>
      </w:r>
    </w:p>
    <w:p w14:paraId="73F55AC3">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电子邮箱：</w:t>
      </w:r>
    </w:p>
    <w:p w14:paraId="6DA178CC">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送达方式</w:t>
      </w:r>
    </w:p>
    <w:p w14:paraId="22612AF5">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 xml:space="preserve"> 双方同意，本合同项下的通知、函件、诉讼文书等文件，以下列方式送达对方：</w:t>
      </w:r>
    </w:p>
    <w:p w14:paraId="37D9A23B">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直接送达：将文件送至对方指定的送达地址，视为已送达；</w:t>
      </w:r>
    </w:p>
    <w:p w14:paraId="55945A2B">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邮寄送达：将文件通过挂号信、特快专递等方式寄至对方指定的送达地址，以邮戳日期为准，视为已送达；</w:t>
      </w:r>
    </w:p>
    <w:p w14:paraId="08A94897">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电子送达：将文件通过电子邮件、短信、微信等方式发送至对方指定的电子邮箱、手机号码等，发送成功即视为已送达。</w:t>
      </w:r>
    </w:p>
    <w:p w14:paraId="7118DBB9">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2.送达条款</w:t>
      </w:r>
    </w:p>
    <w:p w14:paraId="41E49806">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本送达条款适用于合同履行履行期间及合同纠纷解决过程中的所有文件送达。</w:t>
      </w:r>
    </w:p>
    <w:p w14:paraId="20C48918">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8040AAE">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双方在合同履行过程中由双方共同明示或默示确认的合同约定外的送达地址和联系方式不影响送达效力。</w:t>
      </w:r>
    </w:p>
    <w:p w14:paraId="2C4BD337">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双方认同电子送达效力，合同履行过程中或法院、仲裁委员会按照法律或适时有效的仲裁规则需要进行电子送达的，内容自进入双方接收系统之日起，视为送达成功。</w:t>
      </w:r>
    </w:p>
    <w:p w14:paraId="7012918D">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双方应当保证本合同约定送达地址以及联系方式为有效地址及联系方式。一方变更送达信息的，应在变更后一日内通知对方，未及时通知的，发送方按照原约定方式送达，视为送达成功。</w:t>
      </w:r>
    </w:p>
    <w:p w14:paraId="5936E045">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双方发生争议，关于裁判机构的送达文书，接收方存在以下行为之一的，蚌埠仲裁委员会有权依据法律和适时有效的仲裁规则规定进行送达，法律与仲裁规则规定程序完成之日，视为送达成功：</w:t>
      </w:r>
    </w:p>
    <w:p w14:paraId="6860CFEA">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擅自变更送达地址及信息且未及时通知对方的；</w:t>
      </w:r>
    </w:p>
    <w:p w14:paraId="0B42DF77">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送达地址与信息同工商登记信息不一致且未及时更改的；</w:t>
      </w:r>
    </w:p>
    <w:p w14:paraId="2617C6C6">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故意不接收蚌埠仲裁委员会送达文书的；</w:t>
      </w:r>
    </w:p>
    <w:p w14:paraId="77AE2970">
      <w:pPr>
        <w:spacing w:line="360" w:lineRule="auto"/>
        <w:ind w:firstLine="480" w:firstLineChars="200"/>
        <w:rPr>
          <w:rStyle w:val="17"/>
          <w:rFonts w:hint="eastAsia" w:ascii="微软雅黑" w:hAnsi="微软雅黑" w:eastAsia="微软雅黑" w:cs="微软雅黑"/>
          <w:color w:val="000000"/>
          <w:kern w:val="0"/>
          <w:sz w:val="24"/>
          <w:szCs w:val="24"/>
          <w:lang w:val="en-US" w:eastAsia="zh-CN" w:bidi="ar-SA"/>
        </w:rPr>
      </w:pPr>
      <w:r>
        <w:rPr>
          <w:rStyle w:val="17"/>
          <w:rFonts w:hint="eastAsia" w:ascii="微软雅黑" w:hAnsi="微软雅黑" w:eastAsia="微软雅黑" w:cs="微软雅黑"/>
          <w:color w:val="000000"/>
          <w:kern w:val="0"/>
          <w:sz w:val="24"/>
          <w:szCs w:val="24"/>
          <w:lang w:val="en-US" w:eastAsia="zh-CN" w:bidi="ar-SA"/>
        </w:rPr>
        <w:t>因接收方过错造成无法正常送达的其他行为。</w:t>
      </w:r>
    </w:p>
    <w:p w14:paraId="1783FADD">
      <w:pPr>
        <w:pStyle w:val="18"/>
        <w:numPr>
          <w:ilvl w:val="0"/>
          <w:numId w:val="0"/>
        </w:numPr>
        <w:spacing w:line="360" w:lineRule="auto"/>
        <w:ind w:firstLine="480" w:firstLineChars="200"/>
        <w:outlineLvl w:val="0"/>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kern w:val="0"/>
          <w:sz w:val="24"/>
          <w:szCs w:val="24"/>
          <w:lang w:val="en-US" w:eastAsia="zh-CN" w:bidi="ar-SA"/>
        </w:rPr>
        <w:t xml:space="preserve">第十一条 </w:t>
      </w:r>
      <w:r>
        <w:rPr>
          <w:rStyle w:val="17"/>
          <w:rFonts w:hint="eastAsia" w:ascii="微软雅黑" w:hAnsi="微软雅黑" w:eastAsia="微软雅黑" w:cs="微软雅黑"/>
          <w:b/>
          <w:bCs/>
          <w:color w:val="000000"/>
          <w:sz w:val="24"/>
          <w:szCs w:val="24"/>
        </w:rPr>
        <w:t>其他</w:t>
      </w:r>
    </w:p>
    <w:p w14:paraId="3D3B9C7E">
      <w:pPr>
        <w:pStyle w:val="18"/>
        <w:spacing w:line="360" w:lineRule="auto"/>
        <w:ind w:firstLine="480" w:firstLineChars="200"/>
        <w:rPr>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1、未尽事宜，双方另行协商后可签署补充协议</w:t>
      </w:r>
      <w:r>
        <w:rPr>
          <w:rStyle w:val="17"/>
          <w:rFonts w:hint="eastAsia" w:ascii="微软雅黑" w:hAnsi="微软雅黑" w:eastAsia="微软雅黑" w:cs="微软雅黑"/>
          <w:color w:val="000000"/>
          <w:sz w:val="24"/>
          <w:szCs w:val="24"/>
        </w:rPr>
        <w:t>；</w:t>
      </w:r>
      <w:r>
        <w:rPr>
          <w:rStyle w:val="17"/>
          <w:rFonts w:hint="eastAsia" w:ascii="微软雅黑" w:hAnsi="微软雅黑" w:eastAsia="微软雅黑" w:cs="微软雅黑"/>
          <w:color w:val="000000"/>
          <w:sz w:val="24"/>
          <w:szCs w:val="24"/>
        </w:rPr>
        <w:t>补充协议与本协议有同等效力。</w:t>
      </w:r>
    </w:p>
    <w:p w14:paraId="32EF6E0F">
      <w:pPr>
        <w:pStyle w:val="18"/>
        <w:spacing w:line="360" w:lineRule="auto"/>
        <w:ind w:firstLine="480" w:firstLineChars="200"/>
        <w:rPr>
          <w:rStyle w:val="17"/>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2、本协议一式四份，甲乙双方各执两份，经签字盖章后生效。</w:t>
      </w:r>
    </w:p>
    <w:p w14:paraId="265DF896">
      <w:pPr>
        <w:pStyle w:val="18"/>
        <w:spacing w:before="312" w:beforeLines="100" w:after="312" w:afterLines="100" w:line="360" w:lineRule="auto"/>
        <w:ind w:firstLine="480" w:firstLineChars="200"/>
        <w:rPr>
          <w:rStyle w:val="17"/>
          <w:rFonts w:hint="eastAsia" w:ascii="微软雅黑" w:hAnsi="微软雅黑" w:eastAsia="微软雅黑" w:cs="微软雅黑"/>
          <w:b/>
          <w:bCs/>
          <w:color w:val="000000"/>
          <w:sz w:val="24"/>
          <w:szCs w:val="24"/>
        </w:rPr>
      </w:pPr>
      <w:r>
        <w:rPr>
          <w:rStyle w:val="17"/>
          <w:rFonts w:hint="eastAsia" w:ascii="微软雅黑" w:hAnsi="微软雅黑" w:eastAsia="微软雅黑" w:cs="微软雅黑"/>
          <w:b/>
          <w:bCs/>
          <w:color w:val="000000"/>
          <w:sz w:val="24"/>
          <w:szCs w:val="24"/>
        </w:rPr>
        <w:br w:type="page"/>
      </w:r>
      <w:r>
        <w:rPr>
          <w:rStyle w:val="17"/>
          <w:rFonts w:hint="eastAsia" w:ascii="微软雅黑" w:hAnsi="微软雅黑" w:eastAsia="微软雅黑" w:cs="微软雅黑"/>
          <w:b/>
          <w:bCs/>
          <w:color w:val="000000"/>
          <w:sz w:val="24"/>
          <w:szCs w:val="24"/>
        </w:rPr>
        <w:t>附件：</w:t>
      </w:r>
    </w:p>
    <w:p w14:paraId="7E1662BD">
      <w:pPr>
        <w:pStyle w:val="18"/>
        <w:spacing w:line="360" w:lineRule="auto"/>
        <w:ind w:firstLine="480" w:firstLineChars="200"/>
        <w:rPr>
          <w:rStyle w:val="17"/>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附件一、合作开发进度表及价格支付方式（略）</w:t>
      </w:r>
    </w:p>
    <w:p w14:paraId="3BD6DB1B">
      <w:pPr>
        <w:pStyle w:val="18"/>
        <w:spacing w:after="312" w:afterLines="100" w:line="360" w:lineRule="auto"/>
        <w:ind w:firstLine="480" w:firstLineChars="200"/>
        <w:rPr>
          <w:rStyle w:val="17"/>
          <w:rFonts w:hint="eastAsia" w:ascii="微软雅黑" w:hAnsi="微软雅黑" w:eastAsia="微软雅黑" w:cs="微软雅黑"/>
          <w:color w:val="000000"/>
          <w:sz w:val="24"/>
          <w:szCs w:val="24"/>
        </w:rPr>
      </w:pPr>
      <w:r>
        <w:rPr>
          <w:rStyle w:val="17"/>
          <w:rFonts w:hint="eastAsia" w:ascii="微软雅黑" w:hAnsi="微软雅黑" w:eastAsia="微软雅黑" w:cs="微软雅黑"/>
          <w:color w:val="000000"/>
          <w:sz w:val="24"/>
          <w:szCs w:val="24"/>
        </w:rPr>
        <w:t>附件二、销售核查方式及价款支付（略）</w:t>
      </w:r>
    </w:p>
    <w:tbl>
      <w:tblPr>
        <w:tblStyle w:val="7"/>
        <w:tblW w:w="5000" w:type="pct"/>
        <w:tblInd w:w="0" w:type="dxa"/>
        <w:tblLayout w:type="autofit"/>
        <w:tblCellMar>
          <w:top w:w="0" w:type="dxa"/>
          <w:left w:w="108" w:type="dxa"/>
          <w:bottom w:w="0" w:type="dxa"/>
          <w:right w:w="108" w:type="dxa"/>
        </w:tblCellMar>
      </w:tblPr>
      <w:tblGrid>
        <w:gridCol w:w="4261"/>
        <w:gridCol w:w="4261"/>
      </w:tblGrid>
      <w:tr w14:paraId="4F7A17A4">
        <w:tblPrEx>
          <w:tblCellMar>
            <w:top w:w="0" w:type="dxa"/>
            <w:left w:w="108" w:type="dxa"/>
            <w:bottom w:w="0" w:type="dxa"/>
            <w:right w:w="108" w:type="dxa"/>
          </w:tblCellMar>
        </w:tblPrEx>
        <w:tc>
          <w:tcPr>
            <w:tcW w:w="2500" w:type="pct"/>
            <w:shd w:val="clear" w:color="auto" w:fill="auto"/>
          </w:tcPr>
          <w:p w14:paraId="3CA06AC2">
            <w:pPr>
              <w:autoSpaceDE w:val="0"/>
              <w:spacing w:line="360" w:lineRule="auto"/>
              <w:jc w:val="left"/>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xml:space="preserve">甲方（盖章）： </w:t>
            </w:r>
          </w:p>
        </w:tc>
        <w:tc>
          <w:tcPr>
            <w:tcW w:w="2500" w:type="pct"/>
            <w:shd w:val="clear" w:color="auto" w:fill="auto"/>
          </w:tcPr>
          <w:p w14:paraId="712C670B">
            <w:pPr>
              <w:autoSpaceDE w:val="0"/>
              <w:spacing w:line="360" w:lineRule="auto"/>
              <w:jc w:val="left"/>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xml:space="preserve">乙方（盖章）： </w:t>
            </w:r>
          </w:p>
        </w:tc>
      </w:tr>
      <w:tr w14:paraId="5BF1C4EC">
        <w:tblPrEx>
          <w:tblCellMar>
            <w:top w:w="0" w:type="dxa"/>
            <w:left w:w="108" w:type="dxa"/>
            <w:bottom w:w="0" w:type="dxa"/>
            <w:right w:w="108" w:type="dxa"/>
          </w:tblCellMar>
        </w:tblPrEx>
        <w:tc>
          <w:tcPr>
            <w:tcW w:w="2500" w:type="pct"/>
            <w:shd w:val="clear" w:color="auto" w:fill="auto"/>
          </w:tcPr>
          <w:p w14:paraId="19E9D828">
            <w:pPr>
              <w:autoSpaceDE w:val="0"/>
              <w:spacing w:line="360" w:lineRule="auto"/>
              <w:jc w:val="left"/>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xml:space="preserve">授权代表（签字）： </w:t>
            </w:r>
          </w:p>
        </w:tc>
        <w:tc>
          <w:tcPr>
            <w:tcW w:w="2500" w:type="pct"/>
            <w:shd w:val="clear" w:color="auto" w:fill="auto"/>
          </w:tcPr>
          <w:p w14:paraId="3B162763">
            <w:pPr>
              <w:autoSpaceDE w:val="0"/>
              <w:spacing w:line="360" w:lineRule="auto"/>
              <w:jc w:val="left"/>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xml:space="preserve">授权代表（签字）： </w:t>
            </w:r>
          </w:p>
        </w:tc>
      </w:tr>
      <w:tr w14:paraId="5195F66A">
        <w:tblPrEx>
          <w:tblCellMar>
            <w:top w:w="0" w:type="dxa"/>
            <w:left w:w="108" w:type="dxa"/>
            <w:bottom w:w="0" w:type="dxa"/>
            <w:right w:w="108" w:type="dxa"/>
          </w:tblCellMar>
        </w:tblPrEx>
        <w:tc>
          <w:tcPr>
            <w:tcW w:w="2500" w:type="pct"/>
            <w:shd w:val="clear" w:color="auto" w:fill="auto"/>
          </w:tcPr>
          <w:p w14:paraId="651C8845">
            <w:pPr>
              <w:autoSpaceDE w:val="0"/>
              <w:spacing w:line="360" w:lineRule="auto"/>
              <w:jc w:val="left"/>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签订日期：</w:t>
            </w:r>
          </w:p>
        </w:tc>
        <w:tc>
          <w:tcPr>
            <w:tcW w:w="2500" w:type="pct"/>
            <w:shd w:val="clear" w:color="auto" w:fill="auto"/>
          </w:tcPr>
          <w:p w14:paraId="12A4A68C">
            <w:pPr>
              <w:autoSpaceDE w:val="0"/>
              <w:spacing w:line="360" w:lineRule="auto"/>
              <w:jc w:val="left"/>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签订日期：</w:t>
            </w:r>
          </w:p>
        </w:tc>
      </w:tr>
      <w:tr w14:paraId="19939944">
        <w:tblPrEx>
          <w:tblCellMar>
            <w:top w:w="0" w:type="dxa"/>
            <w:left w:w="108" w:type="dxa"/>
            <w:bottom w:w="0" w:type="dxa"/>
            <w:right w:w="108" w:type="dxa"/>
          </w:tblCellMar>
        </w:tblPrEx>
        <w:tc>
          <w:tcPr>
            <w:tcW w:w="2500" w:type="pct"/>
            <w:shd w:val="clear" w:color="auto" w:fill="auto"/>
          </w:tcPr>
          <w:p w14:paraId="011B2B23">
            <w:pPr>
              <w:autoSpaceDE w:val="0"/>
              <w:spacing w:after="312" w:afterLines="100" w:line="360" w:lineRule="auto"/>
              <w:jc w:val="left"/>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xml:space="preserve">签订地点： </w:t>
            </w:r>
          </w:p>
        </w:tc>
        <w:tc>
          <w:tcPr>
            <w:tcW w:w="2500" w:type="pct"/>
            <w:shd w:val="clear" w:color="auto" w:fill="auto"/>
          </w:tcPr>
          <w:p w14:paraId="0A527D0A">
            <w:pPr>
              <w:autoSpaceDE w:val="0"/>
              <w:spacing w:after="312" w:afterLines="100" w:line="360" w:lineRule="auto"/>
              <w:jc w:val="left"/>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xml:space="preserve">签订地点： </w:t>
            </w:r>
          </w:p>
        </w:tc>
      </w:tr>
    </w:tbl>
    <w:p w14:paraId="4E6B8042">
      <w:pPr>
        <w:pStyle w:val="18"/>
        <w:spacing w:after="312" w:afterLines="100"/>
        <w:rPr>
          <w:rFonts w:ascii="宋体" w:hAnsi="宋体" w:eastAsia="宋体"/>
          <w:color w:val="000000"/>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BD8C0">
    <w:pPr>
      <w:pStyle w:val="4"/>
      <w:spacing w:before="120" w:beforeLines="50" w:line="360" w:lineRule="auto"/>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BE68C">
    <w:pPr>
      <w:pStyle w:val="4"/>
      <w:framePr w:wrap="around" w:vAnchor="text" w:hAnchor="margin" w:xAlign="center" w:y="1"/>
      <w:rPr>
        <w:rStyle w:val="10"/>
      </w:rPr>
    </w:pPr>
    <w:r>
      <w:fldChar w:fldCharType="begin"/>
    </w:r>
    <w:r>
      <w:rPr>
        <w:rStyle w:val="10"/>
      </w:rPr>
      <w:instrText xml:space="preserve">PAGE  </w:instrText>
    </w:r>
    <w:r>
      <w:fldChar w:fldCharType="end"/>
    </w:r>
  </w:p>
  <w:p w14:paraId="18B875A8">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9FF"/>
    <w:rsid w:val="000071BA"/>
    <w:rsid w:val="000D0F22"/>
    <w:rsid w:val="000E7CA8"/>
    <w:rsid w:val="001516D5"/>
    <w:rsid w:val="00196C5A"/>
    <w:rsid w:val="00200DE2"/>
    <w:rsid w:val="00207B26"/>
    <w:rsid w:val="002764BD"/>
    <w:rsid w:val="004D4DC1"/>
    <w:rsid w:val="005105A1"/>
    <w:rsid w:val="00546907"/>
    <w:rsid w:val="008429A6"/>
    <w:rsid w:val="00AC764E"/>
    <w:rsid w:val="00BA5F27"/>
    <w:rsid w:val="00C34242"/>
    <w:rsid w:val="00CE49FF"/>
    <w:rsid w:val="00DE6F2D"/>
    <w:rsid w:val="00DF476F"/>
    <w:rsid w:val="00E609F1"/>
    <w:rsid w:val="00FA46F9"/>
    <w:rsid w:val="0B713239"/>
    <w:rsid w:val="33E2786C"/>
    <w:rsid w:val="66265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4"/>
    <w:semiHidden/>
    <w:unhideWhenUsed/>
    <w:uiPriority w:val="99"/>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2"/>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styleId="11">
    <w:name w:val="List Paragraph"/>
    <w:basedOn w:val="1"/>
    <w:qFormat/>
    <w:uiPriority w:val="34"/>
    <w:pPr>
      <w:ind w:firstLine="420" w:firstLineChars="200"/>
    </w:pPr>
  </w:style>
  <w:style w:type="character" w:customStyle="1" w:styleId="12">
    <w:name w:val="标题 字符"/>
    <w:basedOn w:val="9"/>
    <w:link w:val="6"/>
    <w:qFormat/>
    <w:uiPriority w:val="10"/>
    <w:rPr>
      <w:rFonts w:asciiTheme="majorHAnsi" w:hAnsiTheme="majorHAnsi" w:eastAsiaTheme="majorEastAsia" w:cstheme="majorBidi"/>
      <w:b/>
      <w:bCs/>
      <w:sz w:val="32"/>
      <w:szCs w:val="32"/>
    </w:rPr>
  </w:style>
  <w:style w:type="character" w:customStyle="1" w:styleId="13">
    <w:name w:val="批注文字 字符"/>
    <w:basedOn w:val="9"/>
    <w:link w:val="2"/>
    <w:semiHidden/>
    <w:qFormat/>
    <w:uiPriority w:val="99"/>
  </w:style>
  <w:style w:type="character" w:customStyle="1" w:styleId="14">
    <w:name w:val="批注框文本 字符"/>
    <w:basedOn w:val="9"/>
    <w:link w:val="3"/>
    <w:semiHidden/>
    <w:qFormat/>
    <w:uiPriority w:val="99"/>
    <w:rPr>
      <w:sz w:val="18"/>
      <w:szCs w:val="18"/>
    </w:rPr>
  </w:style>
  <w:style w:type="character" w:customStyle="1" w:styleId="15">
    <w:name w:val="页脚 字符"/>
    <w:link w:val="4"/>
    <w:qFormat/>
    <w:uiPriority w:val="0"/>
    <w:rPr>
      <w:sz w:val="18"/>
      <w:szCs w:val="18"/>
    </w:rPr>
  </w:style>
  <w:style w:type="character" w:customStyle="1" w:styleId="16">
    <w:name w:val="页脚 字符1"/>
    <w:basedOn w:val="9"/>
    <w:semiHidden/>
    <w:qFormat/>
    <w:uiPriority w:val="99"/>
    <w:rPr>
      <w:sz w:val="18"/>
      <w:szCs w:val="18"/>
    </w:rPr>
  </w:style>
  <w:style w:type="character" w:customStyle="1" w:styleId="17">
    <w:name w:val="s1"/>
    <w:qFormat/>
    <w:uiPriority w:val="0"/>
  </w:style>
  <w:style w:type="paragraph" w:customStyle="1" w:styleId="18">
    <w:name w:val="p1"/>
    <w:basedOn w:val="1"/>
    <w:qFormat/>
    <w:uiPriority w:val="0"/>
    <w:pPr>
      <w:widowControl/>
      <w:jc w:val="left"/>
    </w:pPr>
    <w:rPr>
      <w:rFonts w:ascii="微软雅黑" w:hAnsi="微软雅黑" w:eastAsia="微软雅黑" w:cs="Times New Roman"/>
      <w:color w:val="333333"/>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2484</Words>
  <Characters>2486</Characters>
  <Lines>16</Lines>
  <Paragraphs>4</Paragraphs>
  <TotalTime>1</TotalTime>
  <ScaleCrop>false</ScaleCrop>
  <LinksUpToDate>false</LinksUpToDate>
  <CharactersWithSpaces>3363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2019-03-15T06:35:00Z</dcterms:created>
  <dc:creator>雯 张</dc:creator>
  <cp:lastModifiedBy>豪</cp:lastModifiedBy>
  <dcterms:modified xsi:type="dcterms:W3CDTF">2026-03-22T07:44:13Z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A7232E9C2314466C89B20454B4994166_12</vt:lpwstr>
  </property>
</Properties>
</file>